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государственного казенного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учреждения Астраханской области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«Центр содействия развитию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земельно-имущественного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комплекса»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________________Н.А. Старостина </w:t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103"/>
        <w:rPr>
          <w:sz w:val="28"/>
          <w:szCs w:val="28"/>
        </w:rPr>
      </w:pPr>
      <w:r>
        <w:rPr>
          <w:sz w:val="28"/>
          <w:szCs w:val="28"/>
        </w:rPr>
        <w:t>«___» ___________ 2024 г.</w:t>
      </w:r>
    </w:p>
    <w:p>
      <w:pPr>
        <w:pStyle w:val="Normal"/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ИЗВЕЩЕНИЕ</w:t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</w:t>
      </w:r>
      <w:r>
        <w:rPr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>аукциона в электронной форме</w:t>
      </w:r>
      <w:r>
        <w:rPr>
          <w:color w:themeColor="text1"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право заключения договоров аренды земельных участков</w:t>
      </w:r>
    </w:p>
    <w:p>
      <w:pPr>
        <w:pStyle w:val="Normal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45"/>
        <w:gridCol w:w="6209"/>
      </w:tblGrid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64" w:leader="none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торгов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Аукцион в электронной форме (электронный аукцион)</w:t>
            </w:r>
          </w:p>
        </w:tc>
      </w:tr>
      <w:tr>
        <w:trPr>
          <w:trHeight w:val="51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организаторе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Государственное казенное учреждение Астраханской области «Центр содействия развитию земельно-имущественного комплекса», 414000 </w:t>
            </w:r>
            <w:r>
              <w:rPr>
                <w:bCs/>
                <w:lang w:eastAsia="en-US"/>
              </w:rPr>
              <w:t xml:space="preserve">г. Астрахань, ул. Ленина, 28, </w:t>
            </w:r>
            <w:r>
              <w:rPr>
                <w:bCs/>
                <w:shd w:fill="FFFFFF" w:val="clear"/>
                <w:lang w:eastAsia="en-US"/>
              </w:rPr>
              <w:t xml:space="preserve">электронная почта: </w:t>
            </w:r>
            <w:hyperlink r:id="rId2"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crzk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@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astrobl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.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ru</w:t>
              </w:r>
            </w:hyperlink>
            <w:r>
              <w:rPr>
                <w:bCs/>
                <w:shd w:fill="FFFFFF" w:val="clear"/>
                <w:lang w:eastAsia="en-US"/>
              </w:rPr>
              <w:t xml:space="preserve">, контактное лицо — Катмаков Александр Александрович, тел. (8512) </w:t>
            </w:r>
            <w:r>
              <w:rPr>
                <w:bCs/>
                <w:color w:val="000000"/>
                <w:shd w:fill="FFFFFF" w:val="clear"/>
                <w:lang w:eastAsia="en-US"/>
              </w:rPr>
              <w:t>22-51-90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уполномоченном органе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shd w:fill="FFFFFF" w:val="clear"/>
                <w:lang w:eastAsia="en-US"/>
              </w:rPr>
              <w:t xml:space="preserve">Министерство имущественных и градостроительных отношений Астраханской области, 414000 </w:t>
            </w:r>
            <w:r>
              <w:rPr>
                <w:bCs/>
                <w:shd w:fill="FFFFFF" w:val="clear"/>
                <w:lang w:eastAsia="en-US"/>
              </w:rPr>
              <w:t xml:space="preserve">г. Астрахань, ул. Советская,12, электронная почта: </w:t>
            </w:r>
            <w:hyperlink r:id="rId3"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migo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@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astrobl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.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ru</w:t>
              </w:r>
            </w:hyperlink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официального сайта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Официальный сайт Российской Федерации для размещения информации о проведении торгов: www.torgi.gov.ru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Оператор электронной площадки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lang w:eastAsia="en-US"/>
              </w:rPr>
            </w:pPr>
            <w:r>
              <w:rPr>
                <w:bCs/>
                <w:shd w:fill="FFFFFF" w:val="clear"/>
                <w:lang w:eastAsia="en-US"/>
              </w:rPr>
              <w:t>Универсальная торговая платформа АО «Сбербанк-АСТ»  https://utp.sberbank-ast.ru/ в информационно-телекоммуникационной сети «Интернет» (далее – УТП).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lang w:eastAsia="en-US"/>
              </w:rPr>
            </w:pPr>
            <w:r>
              <w:rPr>
                <w:bCs/>
                <w:shd w:fill="FFFFFF" w:val="clear"/>
                <w:lang w:eastAsia="en-US"/>
              </w:rPr>
              <w:t xml:space="preserve">Регламент Универсальной торговой платформы АО «Сбербанк-АСТ» (далее – Регламент УТП) размещен на официальном сайте площадки   </w:t>
            </w:r>
            <w:r>
              <w:rPr>
                <w:shd w:fill="FFFFFF" w:val="clear"/>
                <w:lang w:eastAsia="en-US"/>
              </w:rPr>
              <w:t>(</w:t>
            </w:r>
            <w:hyperlink r:id="rId4">
              <w:r>
                <w:rPr>
                  <w:rStyle w:val="Hyperlink"/>
                  <w:lang w:eastAsia="en-US"/>
                </w:rPr>
                <w:t>https://utp.sberbank-ast.ru/Main/Notice/988/Reglament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hd w:fill="FFFFFF" w:val="clear"/>
                <w:lang w:eastAsia="en-US"/>
              </w:rPr>
              <w:t>)</w:t>
            </w:r>
            <w:r>
              <w:rPr>
                <w:bCs/>
                <w:shd w:fill="FFFFFF" w:val="clear"/>
                <w:lang w:eastAsia="en-US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lang w:eastAsia="en-US"/>
              </w:rPr>
            </w:pPr>
            <w:r>
              <w:rPr>
                <w:bCs/>
                <w:shd w:fill="FFFFFF" w:val="clear"/>
                <w:lang w:eastAsia="en-US"/>
              </w:rPr>
              <w:t>Регламент торговой секции «Приватизация, аренда и продажа прав» УТП размещен на официальном сайте площадки   (</w:t>
            </w:r>
            <w:hyperlink r:id="rId5">
              <w:r>
                <w:rPr>
                  <w:rStyle w:val="Hyperlink"/>
                  <w:bCs/>
                  <w:shd w:fill="FFFFFF" w:val="clear"/>
                  <w:lang w:eastAsia="en-US"/>
                </w:rPr>
                <w:t>https://utp.sberbank-ast.ru/</w:t>
              </w:r>
            </w:hyperlink>
            <w:r>
              <w:rPr>
                <w:rStyle w:val="Hyperlink"/>
                <w:bCs/>
                <w:shd w:fill="FFFFFF" w:val="clear"/>
                <w:lang w:eastAsia="en-US"/>
              </w:rPr>
              <w:t>A</w:t>
            </w:r>
            <w:r>
              <w:rPr>
                <w:rStyle w:val="Hyperlink"/>
                <w:bCs/>
                <w:shd w:fill="FFFFFF" w:val="clear"/>
                <w:lang w:val="en-US" w:eastAsia="en-US"/>
              </w:rPr>
              <w:t>P</w:t>
            </w:r>
            <w:r>
              <w:rPr>
                <w:rStyle w:val="Hyperlink"/>
                <w:bCs/>
                <w:shd w:fill="FFFFFF" w:val="clear"/>
                <w:lang w:eastAsia="en-US"/>
              </w:rPr>
              <w:t>/</w:t>
            </w:r>
            <w:r>
              <w:rPr>
                <w:rStyle w:val="Hyperlink"/>
                <w:bCs/>
                <w:shd w:fill="FFFFFF" w:val="clear"/>
                <w:lang w:val="en-US" w:eastAsia="en-US"/>
              </w:rPr>
              <w:t>Notice</w:t>
            </w:r>
            <w:r>
              <w:rPr>
                <w:rStyle w:val="Hyperlink"/>
                <w:bCs/>
                <w:shd w:fill="FFFFFF" w:val="clear"/>
                <w:lang w:eastAsia="en-US"/>
              </w:rPr>
              <w:t>/1027</w:t>
            </w:r>
            <w:r>
              <w:rPr>
                <w:rStyle w:val="Hyperlink"/>
                <w:bCs/>
                <w:color w:val="000000"/>
                <w:shd w:fill="FFFFFF" w:val="clear"/>
                <w:lang w:eastAsia="en-US"/>
              </w:rPr>
              <w:t>)</w:t>
            </w:r>
            <w:r>
              <w:rPr>
                <w:bCs/>
                <w:shd w:fill="FFFFFF" w:val="clear"/>
                <w:lang w:eastAsia="en-US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Оператором электронной площадки не взимается плата за участие в электронном аукционе с победителя или иных лиц, с которыми заключается договор аренды земельного участка.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lang w:eastAsia="en-US"/>
              </w:rPr>
            </w:pPr>
            <w:r>
              <w:rPr>
                <w:shd w:fill="FFFFFF" w:val="clear"/>
                <w:lang w:eastAsia="en-US"/>
              </w:rPr>
              <w:t>Место нахождения: 119435, город Москва, Большой Саввинский пер., 12, стр. 9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Телефон: 8(800) 302-29-99; 8(495) 787-29-97, 8(495) 787-29-99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info</w:t>
            </w:r>
            <w:r>
              <w:rPr>
                <w:lang w:eastAsia="en-US"/>
              </w:rPr>
              <w:t>@</w:t>
            </w:r>
            <w:r>
              <w:rPr>
                <w:lang w:val="en-US" w:eastAsia="en-US"/>
              </w:rPr>
              <w:t>sberbank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ast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заявок осуществляется на электронной площадке «</w:t>
            </w:r>
            <w:r>
              <w:rPr>
                <w:bCs/>
                <w:shd w:fill="FFFFFF" w:val="clear"/>
                <w:lang w:eastAsia="en-US"/>
              </w:rPr>
              <w:t>АО «Сбербанк-АСТ»</w:t>
            </w:r>
            <w:r>
              <w:rPr>
                <w:lang w:eastAsia="en-US"/>
              </w:rPr>
              <w:t xml:space="preserve">, размещенной на сайте: </w:t>
              <w:br/>
            </w:r>
            <w:hyperlink r:id="rId6">
              <w:r>
                <w:rPr>
                  <w:rStyle w:val="Hyperlink"/>
                  <w:bCs/>
                  <w:shd w:fill="FFFFFF" w:val="clear"/>
                  <w:lang w:eastAsia="en-US"/>
                </w:rPr>
                <w:t>https://utp.sberbank-ast.ru</w:t>
              </w:r>
            </w:hyperlink>
            <w:r>
              <w:rPr>
                <w:bCs/>
                <w:shd w:fill="FFFFFF" w:val="clear"/>
                <w:lang w:eastAsia="en-US"/>
              </w:rPr>
              <w:t xml:space="preserve"> </w:t>
            </w:r>
            <w:r>
              <w:rPr>
                <w:lang w:eastAsia="en-US"/>
              </w:rPr>
              <w:t>в сети Интернет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начала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b/>
                <w:shd w:fill="FFFFFF" w:val="clear"/>
                <w:lang w:eastAsia="en-US"/>
              </w:rPr>
              <w:t>19.01.2024 г.  10-00 ч.</w:t>
            </w:r>
            <w:r>
              <w:rPr>
                <w:shd w:fill="FFFFFF" w:val="clear"/>
                <w:lang w:eastAsia="en-US"/>
              </w:rPr>
              <w:t xml:space="preserve"> (</w:t>
            </w:r>
            <w:r>
              <w:rPr>
                <w:lang w:eastAsia="en-US"/>
              </w:rPr>
              <w:t>время московское +1</w:t>
            </w:r>
            <w:r>
              <w:rPr>
                <w:shd w:fill="FFFFFF" w:val="clear"/>
                <w:lang w:eastAsia="en-US"/>
              </w:rPr>
              <w:t>)</w:t>
            </w:r>
          </w:p>
          <w:p>
            <w:pPr>
              <w:pStyle w:val="Normal"/>
              <w:spacing w:lineRule="auto" w:line="252"/>
              <w:ind w:firstLine="281"/>
              <w:jc w:val="both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окончания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b/>
                <w:shd w:fill="FFFFFF" w:val="clear"/>
                <w:lang w:eastAsia="en-US"/>
              </w:rPr>
              <w:t>19.02.2024 г.  10-00 ч.</w:t>
            </w:r>
            <w:r>
              <w:rPr>
                <w:shd w:fill="FFFFFF" w:val="clear"/>
                <w:lang w:eastAsia="en-US"/>
              </w:rPr>
              <w:t xml:space="preserve"> (</w:t>
            </w:r>
            <w:r>
              <w:rPr>
                <w:lang w:eastAsia="en-US"/>
              </w:rPr>
              <w:t>время московское +1</w:t>
            </w:r>
            <w:r>
              <w:rPr>
                <w:shd w:fill="FFFFFF" w:val="clear"/>
                <w:lang w:eastAsia="en-US"/>
              </w:rPr>
              <w:t>)</w:t>
            </w:r>
          </w:p>
          <w:p>
            <w:pPr>
              <w:pStyle w:val="Normal"/>
              <w:spacing w:lineRule="auto" w:line="252"/>
              <w:ind w:firstLine="281"/>
              <w:jc w:val="both"/>
              <w:rPr>
                <w:b/>
                <w:sz w:val="22"/>
                <w:szCs w:val="22"/>
                <w:shd w:fill="FFFFFF" w:val="clear"/>
                <w:lang w:eastAsia="en-US"/>
              </w:rPr>
            </w:pPr>
            <w:r>
              <w:rPr>
                <w:b/>
                <w:sz w:val="22"/>
                <w:szCs w:val="22"/>
                <w:shd w:fill="FFFFFF" w:val="clear"/>
                <w:lang w:eastAsia="en-US"/>
              </w:rPr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47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рассмотрения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b/>
                <w:shd w:fill="FFFFFF" w:val="clear"/>
                <w:lang w:eastAsia="en-US"/>
              </w:rPr>
              <w:t>20.02.2024 г.</w:t>
            </w:r>
            <w:bookmarkStart w:id="0" w:name="_GoBack"/>
            <w:bookmarkEnd w:id="0"/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Место, дата, время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shd w:fill="FFFFFF" w:val="clear"/>
                <w:lang w:eastAsia="en-US"/>
              </w:rPr>
              <w:t xml:space="preserve">Электронный аукцион состоится </w:t>
            </w:r>
            <w:r>
              <w:rPr>
                <w:b/>
                <w:bCs/>
                <w:shd w:fill="FFFFFF" w:val="clear"/>
                <w:lang w:eastAsia="en-US"/>
              </w:rPr>
              <w:t>21</w:t>
            </w:r>
            <w:r>
              <w:rPr>
                <w:b/>
                <w:shd w:fill="FFFFFF" w:val="clear"/>
                <w:lang w:eastAsia="en-US"/>
              </w:rPr>
              <w:t>.02.2024 г. в 10-00</w:t>
            </w:r>
            <w:r>
              <w:rPr>
                <w:shd w:fill="FFFFFF" w:val="clear"/>
                <w:lang w:eastAsia="en-US"/>
              </w:rPr>
              <w:t xml:space="preserve"> ч. (</w:t>
            </w:r>
            <w:r>
              <w:rPr>
                <w:lang w:eastAsia="en-US"/>
              </w:rPr>
              <w:t>время московское +1</w:t>
            </w:r>
            <w:r>
              <w:rPr>
                <w:shd w:fill="FFFFFF" w:val="clear"/>
                <w:lang w:eastAsia="en-US"/>
              </w:rPr>
              <w:t xml:space="preserve">) на электронной площадке:  </w:t>
            </w:r>
            <w:hyperlink r:id="rId7">
              <w:r>
                <w:rPr>
                  <w:rStyle w:val="Hyperlink"/>
                  <w:bCs/>
                  <w:shd w:fill="FFFFFF" w:val="clear"/>
                  <w:lang w:eastAsia="en-US"/>
                </w:rPr>
                <w:t>https://utp.sberbank-ast.ru</w:t>
              </w:r>
            </w:hyperlink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Требования к участникам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Заявителем на участие в электронном аукционе (далее – заявитель) может быть только гражданин (п. 10 ст. 39.11 Земельного кодекса РФ)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заявки и порядок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Заявка, в электронной форме, согласно приложению № 1 к настоящему извещению, подписанная усиленной квалифицированной электронной подписью, подается оператору электронной площадки в сроки, указанные в извещении.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Одновременно с заявкой на участие в электронном аукционе заявители представляют следующие документы:</w:t>
            </w:r>
          </w:p>
          <w:p>
            <w:pPr>
              <w:pStyle w:val="Normal"/>
              <w:spacing w:lineRule="auto" w:line="252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  <w:lang w:eastAsia="en-US"/>
              </w:rPr>
              <w:t>копии документов, удостоверяющие личность заявителя;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документы, подтверждающие внесение задатка (</w:t>
            </w:r>
            <w:r>
              <w:rPr>
                <w:lang w:eastAsia="en-US"/>
              </w:rPr>
              <w:t xml:space="preserve">при подаче заявителем заявки на участие в электронном аукционе, информация о внесении заявителем задатка формируется оператором электронной площадки </w:t>
            </w:r>
            <w:r>
              <w:rPr>
                <w:bCs/>
                <w:shd w:fill="FFFFFF" w:val="clear"/>
                <w:lang w:eastAsia="en-US"/>
              </w:rPr>
              <w:t xml:space="preserve">АО «Сбербанк-АСТ» </w:t>
            </w:r>
            <w:r>
              <w:rPr>
                <w:lang w:eastAsia="en-US"/>
              </w:rPr>
              <w:t>и направляется организатору электронного аукциона)</w:t>
            </w:r>
            <w:r>
              <w:rPr>
                <w:color w:val="000000"/>
                <w:lang w:eastAsia="en-US"/>
              </w:rPr>
              <w:t>.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случае подачи заявки представителем заявителя предъявляется надлежащим образом оформленная доверенность.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замена ранее направленных документов без отзыва заявки в соответствии с регламентом электронной площадки.</w:t>
            </w:r>
          </w:p>
          <w:p>
            <w:pPr>
              <w:pStyle w:val="Normal"/>
              <w:spacing w:lineRule="auto" w:line="25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>Один заявитель вправе подать только одну заявку на участие в электронном аукционе</w:t>
            </w:r>
            <w:r>
              <w:rPr>
                <w:rFonts w:cs="Arial" w:ascii="Arial" w:hAnsi="Arial"/>
                <w:lang w:eastAsia="en-US"/>
              </w:rPr>
              <w:t>.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вправе отозвать заявку в любое время до окончания срока приема заявок в соответствии с регламентом электронной площадки.</w:t>
            </w:r>
          </w:p>
          <w:p>
            <w:pPr>
              <w:pStyle w:val="Default"/>
              <w:jc w:val="both"/>
              <w:rPr/>
            </w:pPr>
            <w:r>
              <w:rPr>
                <w:sz w:val="20"/>
                <w:szCs w:val="20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Порядок внесения задатка участниками электронного аукциона и его возврата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заявки и блокирование денежных средств на электронной площадке является заключением соглашения о задатке.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 xml:space="preserve">Прекращение блокирования денежных средств на </w:t>
            </w:r>
            <w:r>
              <w:rPr>
                <w:lang w:eastAsia="en-US"/>
              </w:rPr>
              <w:t>лицевом</w:t>
            </w:r>
            <w:r>
              <w:rPr>
                <w:shd w:fill="FFFFFF" w:val="clear"/>
                <w:lang w:eastAsia="en-US"/>
              </w:rPr>
              <w:t xml:space="preserve"> счете заявителя производится оператором электронной площадки в следующем порядке: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>- для заявителя, отозвавшего заявку до окончания срока приема заявок, указанного в извещении, в течение 3 (трех) рабочих дней со дня поступления уведомления об отзыве заявки;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>- для заявителя, не допущенного к участию в электронном аукционе, в течение 3 (трех) рабочих дней со дня оформления протокола рассмотрения заявок на участие в электронном аукционе в соответствии 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>- для участников электронного аукциона, участвовавших в электронном аукционе, но не победивших в нем,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fill="FFFFFF" w:val="clear"/>
                <w:lang w:eastAsia="en-US"/>
              </w:rPr>
              <w:t xml:space="preserve"> </w:t>
            </w:r>
            <w:r>
              <w:rPr>
                <w:shd w:fill="FFFFFF" w:val="clear"/>
                <w:lang w:eastAsia="en-US"/>
              </w:rPr>
              <w:t>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>- для участников, допущенных, но не участвовавших в электронном аукционе, 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fill="FFFFFF" w:val="clear"/>
                <w:lang w:eastAsia="en-US"/>
              </w:rPr>
              <w:t xml:space="preserve"> </w:t>
            </w:r>
            <w:r>
              <w:rPr>
                <w:shd w:fill="FFFFFF" w:val="clear"/>
                <w:lang w:eastAsia="en-US"/>
              </w:rPr>
              <w:t>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Задаток, внесенный лицом, признанным победителем электронного аукциона, а также задаток, внесенный иным лицом, с которым заключается договор аренды земельного участка в соответствии с пунктами 13, 14, 20 статьи 39.12 Земельного кодекса РФ, засчитываются в счет арендной платы за земельный участок. Задатки, внесенные указанными в настоящем пункте лицами, не заключившими договор аренды земельного участка вследствие уклонения от заключения указанного договора, не возвращаются.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Реквизиты счета для перечисления задатка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      </w:r>
          </w:p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 ПОЛУЧАТЕЛЬ: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Наименование: АО "Сбербанк-АСТ"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ИНН: 7707308480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КПП: 770401001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Расчетный счет: 40702810300020038047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 ПОЛУЧАТЕЛЯ: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банка: ПАО "СБЕРБАНК РОССИИ" Г. МОСКВА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БИК: 044525225</w:t>
            </w:r>
          </w:p>
          <w:p>
            <w:pPr>
              <w:pStyle w:val="Normal"/>
              <w:widowControl w:val="false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Корреспондентский счет: 30101810400000000225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Назначение платежа: «Перечисление денежных средств в качестве задатка (депозита) (ИНН плательщика) по лоту №_____, расположенного по адресу:  __________________, НДС не облагается»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Порядок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электронного аукциона обеспечивается оператором электронной площадки в соответствии с регламентом площадки.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электронном аукционе могут участвовать только заявители, допущенные к участию в электронном аукционе и признанные участниками.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не допускается к участию в электронном аукционе в следующих случаях: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непредставление необходимых для участия в электронном аукционе документов или представление недостоверных сведений;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не поступление задатка на дату рассмотрения заявок на участие в электронном аукционе;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электронного аукциона;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наличие сведений о заявителе, включенного в реестр недобросовестных участников электронного аукциона.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организатором электронного аукциона заявок, оператор электронной площадки в соответствии с регламентом площадки: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направляет заявителям, допущенным к участию в электронном аукционе и признанным участниками и заявителям, не допущенным к участию в электронном аукционе, уведомления о принятых в их отношении решениях;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размещает Протокол рассмотрения заявок на участие в электронном аукционе на официальном сайте торгов.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заявок организатор электронного аукциона размещает Протокол рассмотрения заявок на участие в электронном аукционе на электронной площадке не позднее, чем на следующий рабочий день после дня подписания указанного протокола.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Процедура электронного аукциона проводится в день и время, указанные в извещении. Проведение электронного аукциона обеспечивается оператором электронной площадки в соответствии с регламентом площадки. Электронной аукцион проводится путем повышения начальной цены предмета электронного аукциона на «шаг аукциона», установленные извещением. Если в течение 1 (одного) часа со времени начала проведения процедуры электронного аукциона не поступило ни одного предложения о цене предмета, которое предусматривало бы более высокую цену предмета электронного аукциона, электронный аукцион завершается с помощью программных и технических средств электронной площадки.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о повышении цены предмета электронного аукциона время, оставшееся до истечения указанного срока, обновляется до десяти минут.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Электронный аукцион завершается с помощью программных и технических средств электронной площадки, если в течение указанного времени ни одного предложения о более высокой цене не поступило.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Победителем признается участник, предложивший наибольшую цену предмета электронного аукциона. Ход проведения процедуры электронного аукциона фиксируется оператором электронной площадки в электронном журнале, который направляется организатору электронного аукциона в течение 1 (одного) часа со времени завершения электронного аукциона для подведения результатов путем оформления протокола о результатах электронного аукциона.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 завершения электронного аукциона оператор электронной площадки размещает протокол проведения электронного аукциона              на электронной площадке. Организатор электронного аукциона размещает протокол о результатах электронного аукциона                                       на электронной площадке в течение одного рабочего дня со дня его подписания, а оператор электронной площадки в автоматическом режиме направляет его для размещения на официальный сайт.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Электронный аукцион признается несостоявшимся в случаях, если: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была подана только одна заявка;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не подано ни одной заявки;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 основании результатов рассмотрения заявок принято решение об отказе в допуске к участию в электронном аукционе всех заявителей;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 основании результатов рассмотрения заявок принято решение о допуске к участию в электронном аукционе и признании участником только одного заявителя;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shd w:fill="FFFFFF" w:val="clear"/>
                <w:lang w:eastAsia="en-US"/>
              </w:rPr>
            </w:pPr>
            <w:r>
              <w:rPr>
                <w:shd w:fill="FFFFFF" w:val="clear"/>
                <w:lang w:eastAsia="en-US"/>
              </w:rPr>
              <w:t xml:space="preserve">- </w:t>
            </w:r>
            <w:r>
              <w:rPr>
                <w:bCs/>
                <w:spacing w:val="4"/>
                <w:shd w:fill="FFFFFF" w:val="clear"/>
                <w:lang w:eastAsia="en-US"/>
              </w:rPr>
              <w:t>в случае если в электронном аукционе участвовал только один участник;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случае если в течении 1 (одного) часа после начала проведения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tabs>
                <w:tab w:val="clear" w:pos="708"/>
                <w:tab w:val="left" w:pos="447" w:leader="none"/>
              </w:tabs>
              <w:spacing w:lineRule="auto" w:line="252"/>
              <w:ind w:hanging="0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Срок заключения договора аренды земельного участка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shd w:fill="FFFFFF" w:val="clear"/>
                <w:lang w:eastAsia="en-US"/>
              </w:rPr>
              <w:t xml:space="preserve">Уполномоченный орган направляет победителю электронного аукциона или иным лицам, предусмотренным </w:t>
            </w:r>
            <w:r>
              <w:fldChar w:fldCharType="begin"/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instrText xml:space="preserve"> HYPERLINK "https://www.consultant.ru/document/cons_doc_LAW_452764/3446ddfcafad7edd45fa9e4766584f3a09c11d98/" \l "dst689"</w:instrTex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separate"/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пунктами 13</w: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end"/>
            </w:r>
            <w:r>
              <w:rPr>
                <w:shd w:fill="FFFFFF" w:val="clear"/>
                <w:lang w:eastAsia="en-US"/>
              </w:rPr>
              <w:t xml:space="preserve">, </w:t>
            </w:r>
            <w:r>
              <w:fldChar w:fldCharType="begin"/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instrText xml:space="preserve"> HYPERLINK "https://www.consultant.ru/document/cons_doc_LAW_452764/3446ddfcafad7edd45fa9e4766584f3a09c11d98/" \l "dst690"</w:instrTex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separate"/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14</w: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end"/>
            </w:r>
            <w:r>
              <w:rPr>
                <w:shd w:fill="FFFFFF" w:val="clear"/>
                <w:lang w:eastAsia="en-US"/>
              </w:rPr>
              <w:t>, 20 и 25 статьи 3</w:t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9.12 З</w:t>
            </w:r>
            <w:r>
              <w:rPr>
                <w:shd w:fill="FFFFFF" w:val="clear"/>
                <w:lang w:eastAsia="en-US"/>
              </w:rPr>
              <w:t xml:space="preserve">емельного кодекса РФ, подписанный проект договора аренды земельного участка (приложение № 2) в сроки, указанные в пунктах 11, 12 статьи 39.13 </w:t>
            </w:r>
            <w:r>
              <w:rPr>
                <w:bCs/>
                <w:spacing w:val="4"/>
                <w:shd w:fill="FFFFFF" w:val="clear"/>
                <w:lang w:eastAsia="en-US"/>
              </w:rPr>
              <w:t xml:space="preserve">Земельного кодекса РФ. </w:t>
            </w:r>
            <w:r>
              <w:rPr>
                <w:shd w:fill="FFFFFF" w:val="clear"/>
                <w:lang w:eastAsia="en-US"/>
              </w:rPr>
              <w:t>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before="0" w:after="0"/>
        <w:rPr>
          <w:b/>
          <w:sz w:val="28"/>
          <w:szCs w:val="22"/>
        </w:rPr>
      </w:pPr>
      <w:bookmarkStart w:id="1" w:name="_Hlk153193458"/>
      <w:r>
        <w:rPr>
          <w:b/>
          <w:sz w:val="28"/>
          <w:szCs w:val="22"/>
        </w:rPr>
        <w:t>Состав и описание лотов, выставляемых на электронный аукцион</w:t>
      </w:r>
      <w:bookmarkEnd w:id="1"/>
    </w:p>
    <w:p>
      <w:pPr>
        <w:pStyle w:val="Normal"/>
        <w:rPr>
          <w:b/>
          <w:sz w:val="28"/>
          <w:szCs w:val="22"/>
        </w:rPr>
      </w:pPr>
      <w:r>
        <w:rPr>
          <w:b/>
          <w:sz w:val="28"/>
          <w:szCs w:val="22"/>
        </w:rPr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№ </w:t>
            </w:r>
            <w:r>
              <w:rPr>
                <w:kern w:val="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Распоряжение  министерства имущественных и градостроительных отношений Астраханской области от 20.10.2023г. № 1187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Астраханская область, г. Астрахань, Трусовский район, в районе улиц Чкалова, Невской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681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30:12:041407:166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индивидуального  жилищного строительства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Предельные параметры: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м. В случае блокированной застройки на сопряженных земельных участках - 0 м; 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высота зданий: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 как исключение: шпили, башни, флагштоки - без ограничения;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 </w:t>
            </w:r>
            <w:r>
              <w:rPr>
                <w:rFonts w:eastAsia="Lucida Sans Unicode"/>
                <w:kern w:val="2"/>
                <w:lang w:val="ru-RU" w:eastAsia="zh-CN" w:bidi="ar-SA"/>
              </w:rPr>
              <w:t>подключение технически возможно к сети водопровода Д-300мм, проходящей по ул. Чкалова.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напорную сеть канализации Д-400 мм, проходящую по пер. Бутлерова. Ориентировочное расстояние до сети водоотведения составляет 780 м.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val="ru-RU" w:eastAsia="zh-CN" w:bidi="ar-SA"/>
              </w:rPr>
              <w:t>Максимальная подключаемая нагрузка сетям водопровода и водоотведения для индивидуального жилого дома составляет 5 м3/ сут.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eastAsia="en-US" w:bidi="ar-SA"/>
              </w:rPr>
              <w:t>письмо МУП г. Астрахани «Астрводоканал» от 26.07.2023 № 03-01-13175)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Имеется техническая возможность подключения объекта капитального строительства к четырехтрубной теплосети от котельной № Т-3 (ул. Чкалова/Наб.р.Воложка/пер. Бутлерова, 80/95/1, литер Л). Подключение (технологическое присоединение) к четырехтрубной теплосети возможно вблизи многоквартирного дома по ул. Чкалова, № 80, корп. 1 со строительством нового ввода тепловой сети. Максимальная нагрузка в точке подключения составляет 0,0 Гкал/ч (резерв пропускной способности теплосетей отсутствует, требуется реконструкция участков теплосетей с увеличением пропускной способности).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МУП города Астрахани «Коммунэнерго» от 10.10.2023 № 3407)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газоснабжения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среднего давления, проходящий  на расстоянии 51 м с предельным расходом природного газа не более 7,0 м3/час.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филиала АО «Газпром газораспределение» в Астраханской области» от 26.09.2023 № ПВ-17/9266)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Земельный участок полностью расположен: в третьей, четвертой и шестой подзонах приаэродромной  территории аэродрома Астрахань (Нариманово).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214 819,00 (двести четырнадцать тысяч восемьсот девятнадцать)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6 400,00 (шесть тысяч четыреста)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107 409,5 (сто семь тысяч четыреста девять) рублей 50 копеек</w:t>
            </w:r>
            <w:bookmarkStart w:id="2" w:name="_Hlk150783295"/>
            <w:bookmarkEnd w:id="2"/>
          </w:p>
        </w:tc>
      </w:tr>
    </w:tbl>
    <w:p>
      <w:pPr>
        <w:pStyle w:val="Normal"/>
        <w:rPr/>
      </w:pPr>
      <w:r>
        <w:rPr/>
      </w:r>
      <w:bookmarkStart w:id="3" w:name="_Hlk150779600"/>
      <w:bookmarkStart w:id="4" w:name="_Hlk150779600"/>
      <w:bookmarkEnd w:id="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5" w:name="_Hlk150779600_Копия_1"/>
      <w:bookmarkStart w:id="6" w:name="_Hlk150779600_Копия_1"/>
      <w:bookmarkEnd w:id="6"/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№ </w:t>
            </w:r>
            <w:r>
              <w:rPr>
                <w:kern w:val="0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Распоряжение  министерства имущественных и градостроительных отношений Астраханской области от 20.10.2023г. № 1187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Астраханская область, г. Астрахань, Трусовский район, в районе улиц Чкалова, Невской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605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30:12:041407:167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индивидуального жилищного строительства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Предельные параметры: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м. В случае блокированной застройки на сопряженных земельных участках - 0 м; 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высота зданий: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 как исключение: шпили, башни, флагштоки - без ограничения;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</w:t>
            </w:r>
            <w:r>
              <w:rPr>
                <w:rFonts w:eastAsia="Lucida Sans Unicode"/>
                <w:kern w:val="2"/>
                <w:lang w:val="ru-RU" w:eastAsia="zh-CN" w:bidi="ar-SA"/>
              </w:rPr>
              <w:t>подключение технически возможно к сети водопровода Д-300мм, проходящей по ул. Чкалова.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напорную сеть канализации Д-400 мм, проходящую по пер. Бутлерова. Ориентировочное расстояние до сети водоотведения составляет 780 м.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val="ru-RU" w:eastAsia="zh-CN" w:bidi="ar-SA"/>
              </w:rPr>
              <w:t>Максимальная подключаемая нагрузка сетям водопровода и водоотведения для  индивидуального жилого дома составляет 5 м3/ сут.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eastAsia="en-US" w:bidi="ar-SA"/>
              </w:rPr>
              <w:t>письмо МУП г. Астрахани «Астрводоканал» от 26.07.2023 № 03-01-13175)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Имеется техническая возможность подключения объекта капитального строительства к четырехтрубной теплосети от котельной № Т-3 (ул. Чкалова/Наб.р.Воложка/пер. Бутлерова, 80/95/1, литер Л). Подключение (технологическое присоединение) к четырехтрубной теплосети возможно вблизи многоквартирного дома по ул. Чкалова, № 80, корп. 1 со строительством нового ввода тепловой сети. Максимальная нагрузка в точке подключения составляет 0,0 Гкал/ч (резерв пропускной способности теплосетей отсутствует, требуется реконструкция участков теплосетей с увеличением пропускной способности).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МУП города Астрахани «Коммунэнерго» от 10.10.2023 № 3407)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газоснабжения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среднего давления, проходящий  на расстоянии 52 м с предельным расходом природного газа не более 7,0 м3/час.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филиала АО «Газпром газораспределение» в Астраханской области» от 26.09.2023 № ПВ-17/9266)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Земельный участок полностью расположен: в третьей, четвертой и шестой подзонах приаэродромной  территории аэродрома Астрахань (Нариманово).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190 845,00 (сто девяносто тысяч восемьсот сорок пять)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5 700,00 (пять тысяч семьсот)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95 422,5 (девяносто пять тысяч четыреста двадцать два) рубля 50 копеек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№ </w:t>
            </w:r>
            <w:r>
              <w:rPr>
                <w:kern w:val="0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Распоряжение  министерства имущественных и градостроительных отношений Астраханской области от 20.10.2023г. № 1187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Астраханская область, г. Астрахань, Трусовский район, в районе улиц Чкалова, Невской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602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30:12:041407:168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индивидуального жилищного строительства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Предельные параметры: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м. В случае блокированной застройки на сопряженных земельных участках - 0 м; 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высота зданий: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 как исключение: шпили, башни, флагштоки - без ограничения;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</w:t>
            </w:r>
            <w:r>
              <w:rPr>
                <w:rFonts w:eastAsia="Lucida Sans Unicode"/>
                <w:kern w:val="2"/>
                <w:lang w:val="ru-RU" w:eastAsia="zh-CN" w:bidi="ar-SA"/>
              </w:rPr>
              <w:t>подключение технически возможно к сети водопровода Д-300мм, проходящей по ул. Чкалова.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напорную сеть канализации Д-400 мм, проходящую по пер. Бутлерова. Ориентировочное расстояние до сети водоотведения составляет 780 м.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val="ru-RU" w:eastAsia="zh-CN" w:bidi="ar-SA"/>
              </w:rPr>
              <w:t xml:space="preserve"> </w:t>
            </w:r>
            <w:r>
              <w:rPr>
                <w:kern w:val="2"/>
                <w:lang w:val="ru-RU" w:eastAsia="zh-CN" w:bidi="ar-SA"/>
              </w:rPr>
              <w:t>Максимальная подключаемая нагрузка сетям водопровода и водоотведения для индивидуального жилого дома составляет 5 м3/ сут.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eastAsia="en-US" w:bidi="ar-SA"/>
              </w:rPr>
              <w:t>письмо МУП г. Астрахани «Астрводоканал» от 26.07.2023 № 03-01-13175)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Имеется техническая возможность подключения объекта капитального строительства к четырехтрубной теплосети от котельной № Т-3 (ул. Чкалова/Наб.р.Воложка/пер. Бутлерова, 80/95/1, литер Л). Подключение (технологическое присоединение) к четырехтрубной теплосети возможно вблизи многоквартирного дома по ул. Чкалова, № 80, корп. 1 со строительством нового ввода тепловой сети. Максимальная нагрузка в точке подключения составляет 0,0 Гкал/ч (резерв пропускной способности теплосетей отсутствует, требуется реконструкция участков теплосетей с увеличением пропускной способности).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МУП города Астрахани «Коммунэнерго» от 10.10.2023 № 3407)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газоснабжения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среднего давления, проходящий  на расстоянии 50 м с предельным расходом природного газа не более 7,0 м3/час.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(письмо филиала АО «Газпром газораспределение» в Астраханской области» от 26.09.2023 № ПВ-17/9266)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Земельный участок полностью расположен: в третьей, четвертой и шестой подзонах приаэродромной  территории аэродрома Астрахань (Нариманово).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189 899,00 (сто восемьдесят девять тысяч восемьсот девяносто девять)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5 600,00 (пять тысяч шестьсот)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94 949,5 (девяносто четыре тысячи девятьсот сорок девять) рублей 50 копеек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spacing w:lineRule="auto" w:line="259" w:before="0" w:after="160"/>
        <w:rPr>
          <w:rFonts w:ascii="TimesNewRomanPS-BoldMT" w:hAnsi="TimesNewRomanPS-BoldMT"/>
          <w:b/>
          <w:bCs/>
          <w:color w:themeColor="text2" w:val="44546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15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637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3637c1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7748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637c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637c1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637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Nonformat" w:customStyle="1">
    <w:name w:val="ConsNonformat"/>
    <w:qFormat/>
    <w:rsid w:val="00523035"/>
    <w:pPr>
      <w:widowControl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774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e30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zk@astrobl.ru" TargetMode="External"/><Relationship Id="rId3" Type="http://schemas.openxmlformats.org/officeDocument/2006/relationships/hyperlink" Target="mailto:migo@astrobl.ru" TargetMode="External"/><Relationship Id="rId4" Type="http://schemas.openxmlformats.org/officeDocument/2006/relationships/hyperlink" Target="https://utp.sberbank-ast.ru/Main/Notice/988/Reglament" TargetMode="External"/><Relationship Id="rId5" Type="http://schemas.openxmlformats.org/officeDocument/2006/relationships/hyperlink" Target="https://utp.sberbank-ast.ru/Main/Notice/988/Reglament" TargetMode="External"/><Relationship Id="rId6" Type="http://schemas.openxmlformats.org/officeDocument/2006/relationships/hyperlink" Target="https://utp.sberbank-ast.ru/" TargetMode="External"/><Relationship Id="rId7" Type="http://schemas.openxmlformats.org/officeDocument/2006/relationships/hyperlink" Target="https://utp.sberbank-ast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Application>LibreOffice/7.6.0.3$Windows_X86_64 LibreOffice_project/69edd8b8ebc41d00b4de3915dc82f8f0fc3b6265</Application>
  <AppVersion>15.0000</AppVersion>
  <Pages>10</Pages>
  <Words>3569</Words>
  <Characters>25109</Characters>
  <CharactersWithSpaces>28498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2023-12-29T06:21:00Z</dcterms:created>
  <dc:creator>User</dc:creator>
  <dc:description/>
  <dc:language>ru-RU</dc:language>
  <cp:lastModifiedBy/>
  <cp:lastPrinted>2024-01-15T12:19:00Z</cp:lastPrinted>
  <dcterms:modified xsi:type="dcterms:W3CDTF">2024-01-18T13:53:52Z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