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0"/>
        <w:rPr>
          <w:rStyle w:val="Style13"/>
          <w:lang w:eastAsia="ru-RU"/>
        </w:rPr>
      </w:pPr>
      <w:r>
        <w:rPr/>
      </w:r>
      <w:r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-457200</wp:posOffset>
                </wp:positionH>
                <wp:positionV relativeFrom="paragraph">
                  <wp:posOffset>-539115</wp:posOffset>
                </wp:positionV>
                <wp:extent cx="3018790" cy="3361690"/>
                <wp:effectExtent l="0" t="0" r="0" b="0"/>
                <wp:wrapSquare wrapText="bothSides"/>
                <wp:docPr id="1" name="Врезка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8790" cy="3361690"/>
                        </a:xfrm>
                        <a:prstGeom prst="rect"/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clear" w:pos="680"/>
                                <w:tab w:val="left" w:pos="0" w:leader="none"/>
                              </w:tabs>
                              <w:ind w:left="0" w:hanging="0"/>
                              <w:rPr>
                                <w:rFonts w:ascii="Classic Russian" w:hAnsi="Classic Russian" w:cs="Classic Russian"/>
                                <w:sz w:val="14"/>
                              </w:rPr>
                            </w:pPr>
                            <w:r>
                              <w:rPr>
                                <w:rFonts w:cs="Classic Russian" w:ascii="Classic Russian" w:hAnsi="Classic Russian"/>
                                <w:sz w:val="14"/>
                              </w:rPr>
                            </w:r>
                          </w:p>
                          <w:p>
                            <w:pPr>
                              <w:pStyle w:val="2"/>
                              <w:tabs>
                                <w:tab w:val="clear" w:pos="680"/>
                                <w:tab w:val="left" w:pos="0" w:leader="none"/>
                              </w:tabs>
                              <w:ind w:left="0" w:hanging="0"/>
                              <w:rPr>
                                <w:rStyle w:val="Style13"/>
                                <w:rFonts w:ascii="Liberation Serif" w:hAnsi="Liberation Serif" w:eastAsia="SimSun" w:cs="Mangal"/>
                                <w:kern w:val="0"/>
                                <w:lang w:eastAsia="ru-RU"/>
                              </w:rPr>
                            </w:pPr>
                            <w:r>
                              <w:rPr>
                                <w:rFonts w:cs="Classic Russian" w:ascii="Classic Russian" w:hAnsi="Classic Russian"/>
                                <w:sz w:val="10"/>
                              </w:rPr>
                            </w:r>
                          </w:p>
                          <w:tbl>
                            <w:tblPr>
                              <w:tblW w:w="3960" w:type="dxa"/>
                              <w:jc w:val="left"/>
                              <w:tblInd w:w="540" w:type="dxa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35"/>
                              <w:gridCol w:w="1080"/>
                              <w:gridCol w:w="540"/>
                              <w:gridCol w:w="1505"/>
                            </w:tblGrid>
                            <w:tr>
                              <w:trPr/>
                              <w:tc>
                                <w:tcPr>
                                  <w:tcW w:w="835" w:type="dxa"/>
                                  <w:tcBorders/>
                                  <w:shd w:fill="auto" w:val="clear"/>
                                </w:tcPr>
                                <w:p>
                                  <w:pPr>
                                    <w:pStyle w:val="Style20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bottom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Style20"/>
                                    <w:snapToGrid w:val="false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  <w:tcBorders/>
                                  <w:shd w:fill="auto" w:val="clear"/>
                                </w:tcPr>
                                <w:p>
                                  <w:pPr>
                                    <w:pStyle w:val="Style20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  <w:tc>
                                <w:tcPr>
                                  <w:tcW w:w="1505" w:type="dxa"/>
                                  <w:tcBorders>
                                    <w:bottom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Style20"/>
                                    <w:snapToGrid w:val="false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20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Style20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 lIns="92075" tIns="46355" rIns="92075" bIns="4635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0;width:237.7pt;height:264.7pt;mso-wrap-distance-left:0pt;mso-wrap-distance-right:0pt;mso-wrap-distance-top:0pt;mso-wrap-distance-bottom:0pt;margin-top:-42.45pt;mso-position-vertical-relative:text;margin-left:-36pt;mso-position-horizontal-relative:text">
                <v:textbox inset="0.100694444444444in,0.0506944444444444in,0.100694444444444in,0.0506944444444444in">
                  <w:txbxContent>
                    <w:p>
                      <w:pPr>
                        <w:pStyle w:val="2"/>
                        <w:tabs>
                          <w:tab w:val="clear" w:pos="680"/>
                          <w:tab w:val="left" w:pos="0" w:leader="none"/>
                        </w:tabs>
                        <w:ind w:left="0" w:hanging="0"/>
                        <w:rPr>
                          <w:rFonts w:ascii="Classic Russian" w:hAnsi="Classic Russian" w:cs="Classic Russian"/>
                          <w:sz w:val="14"/>
                        </w:rPr>
                      </w:pPr>
                      <w:r>
                        <w:rPr>
                          <w:rFonts w:cs="Classic Russian" w:ascii="Classic Russian" w:hAnsi="Classic Russian"/>
                          <w:sz w:val="14"/>
                        </w:rPr>
                      </w:r>
                    </w:p>
                    <w:p>
                      <w:pPr>
                        <w:pStyle w:val="2"/>
                        <w:tabs>
                          <w:tab w:val="clear" w:pos="680"/>
                          <w:tab w:val="left" w:pos="0" w:leader="none"/>
                        </w:tabs>
                        <w:ind w:left="0" w:hanging="0"/>
                        <w:rPr>
                          <w:rStyle w:val="Style13"/>
                          <w:rFonts w:ascii="Liberation Serif" w:hAnsi="Liberation Serif" w:eastAsia="SimSun" w:cs="Mangal"/>
                          <w:kern w:val="0"/>
                          <w:lang w:eastAsia="ru-RU"/>
                        </w:rPr>
                      </w:pPr>
                      <w:r>
                        <w:rPr>
                          <w:rFonts w:cs="Classic Russian" w:ascii="Classic Russian" w:hAnsi="Classic Russian"/>
                          <w:sz w:val="10"/>
                        </w:rPr>
                      </w:r>
                    </w:p>
                    <w:tbl>
                      <w:tblPr>
                        <w:tblW w:w="3960" w:type="dxa"/>
                        <w:jc w:val="left"/>
                        <w:tblInd w:w="540" w:type="dxa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35"/>
                        <w:gridCol w:w="1080"/>
                        <w:gridCol w:w="540"/>
                        <w:gridCol w:w="1505"/>
                      </w:tblGrid>
                      <w:tr>
                        <w:trPr/>
                        <w:tc>
                          <w:tcPr>
                            <w:tcW w:w="835" w:type="dxa"/>
                            <w:tcBorders/>
                            <w:shd w:fill="auto" w:val="clear"/>
                          </w:tcPr>
                          <w:p>
                            <w:pPr>
                              <w:pStyle w:val="Style20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bottom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Style20"/>
                              <w:snapToGrid w:val="false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540" w:type="dxa"/>
                            <w:tcBorders/>
                            <w:shd w:fill="auto" w:val="clear"/>
                          </w:tcPr>
                          <w:p>
                            <w:pPr>
                              <w:pStyle w:val="Style20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c>
                        <w:tc>
                          <w:tcPr>
                            <w:tcW w:w="1505" w:type="dxa"/>
                            <w:tcBorders>
                              <w:bottom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Style20"/>
                              <w:snapToGrid w:val="false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c>
                      </w:tr>
                    </w:tbl>
                    <w:p>
                      <w:pPr>
                        <w:pStyle w:val="Style20"/>
                        <w:jc w:val="center"/>
                        <w:rPr/>
                      </w:pPr>
                      <w:r>
                        <w:rPr/>
                      </w:r>
                    </w:p>
                    <w:p>
                      <w:pPr>
                        <w:pStyle w:val="Style20"/>
                        <w:jc w:val="center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Style20"/>
        <w:jc w:val="center"/>
        <w:rPr/>
      </w:pPr>
      <w:r>
        <w:rPr/>
      </w:r>
    </w:p>
    <w:p>
      <w:pPr>
        <w:pStyle w:val="Style20"/>
        <w:jc w:val="center"/>
        <w:rPr/>
      </w:pPr>
      <w:r>
        <w:rPr/>
      </w:r>
    </w:p>
    <w:p>
      <w:pPr>
        <w:pStyle w:val="2"/>
        <w:tabs>
          <w:tab w:val="clear" w:pos="680"/>
          <w:tab w:val="left" w:pos="0" w:leader="none"/>
        </w:tabs>
        <w:ind w:left="0" w:hanging="0"/>
        <w:rPr>
          <w:rStyle w:val="Style13"/>
          <w:lang w:eastAsia="ru-RU"/>
        </w:rPr>
      </w:pPr>
      <w:r>
        <w:rPr/>
      </w:r>
      <w: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column">
                  <wp:posOffset>669925</wp:posOffset>
                </wp:positionH>
                <wp:positionV relativeFrom="paragraph">
                  <wp:posOffset>118110</wp:posOffset>
                </wp:positionV>
                <wp:extent cx="7560310" cy="1694180"/>
                <wp:effectExtent l="0" t="0" r="0" b="0"/>
                <wp:wrapNone/>
                <wp:docPr id="2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60310" cy="1694180"/>
                        </a:xfrm>
                        <a:prstGeom prst="rect"/>
                      </wps:spPr>
                      <wps:txbx>
                        <w:txbxContent>
                          <w:p>
                            <w:pPr>
                              <w:pStyle w:val="Normal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Normal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</w:txbxContent>
                      </wps:txbx>
                      <wps:bodyPr anchor="t" lIns="92075" tIns="46355" rIns="92075" bIns="4635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0;width:595.3pt;height:133.4pt;mso-wrap-distance-left:0pt;mso-wrap-distance-right:0pt;mso-wrap-distance-top:0pt;mso-wrap-distance-bottom:0pt;margin-top:9.3pt;mso-position-vertical-relative:text;margin-left:52.75pt;mso-position-horizontal-relative:text">
                <v:textbox inset="0.100694444444444in,0.0506944444444444in,0.100694444444444in,0.0506944444444444in">
                  <w:txbxContent>
                    <w:p>
                      <w:pPr>
                        <w:pStyle w:val="Normal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Normal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Style20"/>
        <w:spacing w:lineRule="atLeast" w:line="240"/>
        <w:rPr>
          <w:b/>
          <w:b/>
        </w:rPr>
      </w:pPr>
      <w:r>
        <w:rPr>
          <w:b/>
        </w:rPr>
      </w:r>
    </w:p>
    <w:p>
      <w:pPr>
        <w:pStyle w:val="Style20"/>
        <w:spacing w:lineRule="atLeast" w:line="240"/>
        <w:rPr>
          <w:b/>
          <w:b/>
        </w:rPr>
      </w:pPr>
      <w:r>
        <w:rPr>
          <w:b/>
        </w:rPr>
      </w:r>
    </w:p>
    <w:p>
      <w:pPr>
        <w:pStyle w:val="Style20"/>
        <w:spacing w:lineRule="atLeast" w:line="240"/>
        <w:rPr>
          <w:b/>
          <w:b/>
        </w:rPr>
      </w:pPr>
      <w:r>
        <w:rPr>
          <w:b/>
        </w:rPr>
      </w:r>
    </w:p>
    <w:p>
      <w:pPr>
        <w:pStyle w:val="Style20"/>
        <w:spacing w:lineRule="atLeast" w:line="240"/>
        <w:rPr>
          <w:b/>
          <w:b/>
        </w:rPr>
      </w:pPr>
      <w:r>
        <w:rPr>
          <w:b/>
        </w:rPr>
      </w:r>
    </w:p>
    <w:p>
      <w:pPr>
        <w:pStyle w:val="Style20"/>
        <w:spacing w:lineRule="atLeast" w:line="240"/>
        <w:rPr>
          <w:b/>
          <w:b/>
        </w:rPr>
      </w:pPr>
      <w:r>
        <w:rPr>
          <w:b/>
        </w:rPr>
      </w:r>
    </w:p>
    <w:p>
      <w:pPr>
        <w:pStyle w:val="Style20"/>
        <w:spacing w:lineRule="atLeast" w:line="240"/>
        <w:rPr>
          <w:b/>
          <w:b/>
        </w:rPr>
      </w:pPr>
      <w:r>
        <w:rPr>
          <w:b/>
        </w:rPr>
      </w:r>
    </w:p>
    <w:p>
      <w:pPr>
        <w:pStyle w:val="Style20"/>
        <w:spacing w:lineRule="atLeast" w:line="240"/>
        <w:rPr>
          <w:b/>
          <w:b/>
        </w:rPr>
      </w:pPr>
      <w:r>
        <w:rPr>
          <w:b/>
        </w:rPr>
      </w:r>
    </w:p>
    <w:p>
      <w:pPr>
        <w:pStyle w:val="Style20"/>
        <w:spacing w:lineRule="atLeast" w:line="240"/>
        <w:rPr>
          <w:b/>
          <w:b/>
        </w:rPr>
      </w:pPr>
      <w:r>
        <w:rPr>
          <w:b/>
        </w:rPr>
      </w:r>
    </w:p>
    <w:p>
      <w:pPr>
        <w:pStyle w:val="Style20"/>
        <w:spacing w:lineRule="atLeast" w:line="240"/>
        <w:rPr>
          <w:b/>
          <w:b/>
        </w:rPr>
      </w:pPr>
      <w:r>
        <w:rPr>
          <w:b/>
        </w:rPr>
      </w:r>
    </w:p>
    <w:p>
      <w:pPr>
        <w:pStyle w:val="Style20"/>
        <w:spacing w:lineRule="atLeast" w:line="240"/>
        <w:rPr>
          <w:b/>
          <w:b/>
        </w:rPr>
      </w:pPr>
      <w:r>
        <w:rPr>
          <w:b/>
        </w:rPr>
      </w:r>
    </w:p>
    <w:p>
      <w:pPr>
        <w:pStyle w:val="Style20"/>
        <w:spacing w:lineRule="atLeast" w:line="240"/>
        <w:rPr>
          <w:b/>
          <w:b/>
        </w:rPr>
      </w:pPr>
      <w:r>
        <w:rPr>
          <w:b/>
        </w:rPr>
      </w:r>
    </w:p>
    <w:p>
      <w:pPr>
        <w:pStyle w:val="Style20"/>
        <w:spacing w:lineRule="atLeast" w:line="240"/>
        <w:jc w:val="center"/>
        <w:rPr>
          <w:b/>
          <w:b/>
          <w:sz w:val="28"/>
        </w:rPr>
      </w:pPr>
      <w:r>
        <w:rPr>
          <w:b/>
          <w:sz w:val="28"/>
        </w:rPr>
      </w:r>
    </w:p>
    <w:p>
      <w:pPr>
        <w:pStyle w:val="Style20"/>
        <w:tabs>
          <w:tab w:val="clear" w:pos="680"/>
          <w:tab w:val="left" w:pos="180" w:leader="none"/>
          <w:tab w:val="left" w:pos="720" w:leader="none"/>
        </w:tabs>
        <w:spacing w:lineRule="atLeast" w:line="24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0"/>
        <w:tabs>
          <w:tab w:val="clear" w:pos="680"/>
          <w:tab w:val="left" w:pos="180" w:leader="none"/>
          <w:tab w:val="left" w:pos="720" w:leader="none"/>
        </w:tabs>
        <w:spacing w:lineRule="atLeast" w:line="240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20"/>
        <w:widowControl w:val="false"/>
        <w:shd w:fill="FFFFFF" w:val="clear"/>
        <w:suppressAutoHyphens w:val="false"/>
        <w:autoSpaceDE w:val="false"/>
        <w:textAlignment w:val="auto"/>
        <w:rPr>
          <w:b/>
          <w:b/>
          <w:bCs/>
          <w:spacing w:val="-2"/>
          <w:kern w:val="0"/>
          <w:sz w:val="26"/>
          <w:szCs w:val="26"/>
          <w:lang w:eastAsia="ru-RU"/>
        </w:rPr>
      </w:pPr>
      <w:r>
        <w:rPr>
          <w:b/>
          <w:bCs/>
          <w:spacing w:val="-2"/>
          <w:kern w:val="0"/>
          <w:sz w:val="26"/>
          <w:szCs w:val="26"/>
          <w:lang w:eastAsia="ru-RU"/>
        </w:rPr>
      </w:r>
    </w:p>
    <w:p>
      <w:pPr>
        <w:pStyle w:val="Style20"/>
        <w:widowControl w:val="false"/>
        <w:shd w:fill="FFFFFF" w:val="clear"/>
        <w:suppressAutoHyphens w:val="false"/>
        <w:autoSpaceDE w:val="false"/>
        <w:jc w:val="center"/>
        <w:textAlignment w:val="auto"/>
        <w:rPr/>
      </w:pPr>
      <w:r>
        <w:rPr>
          <w:rStyle w:val="Style13"/>
          <w:b/>
          <w:bCs/>
          <w:spacing w:val="-2"/>
          <w:kern w:val="0"/>
          <w:sz w:val="26"/>
          <w:szCs w:val="26"/>
          <w:lang w:eastAsia="ru-RU"/>
        </w:rPr>
        <w:t xml:space="preserve">ПРОТОКОЛ № </w:t>
      </w:r>
      <w:r>
        <w:rPr>
          <w:rStyle w:val="Style13"/>
          <w:b/>
          <w:bCs/>
          <w:spacing w:val="-2"/>
          <w:kern w:val="0"/>
          <w:sz w:val="26"/>
          <w:szCs w:val="26"/>
          <w:lang w:eastAsia="ru-RU"/>
        </w:rPr>
        <w:t>2</w:t>
      </w:r>
    </w:p>
    <w:p>
      <w:pPr>
        <w:pStyle w:val="Style20"/>
        <w:widowControl w:val="false"/>
        <w:shd w:fill="FFFFFF" w:val="clear"/>
        <w:suppressAutoHyphens w:val="false"/>
        <w:autoSpaceDE w:val="false"/>
        <w:jc w:val="center"/>
        <w:textAlignment w:val="auto"/>
        <w:rPr/>
      </w:pPr>
      <w:r>
        <w:rPr>
          <w:rStyle w:val="Style13"/>
          <w:bCs/>
          <w:kern w:val="0"/>
          <w:sz w:val="26"/>
          <w:szCs w:val="26"/>
          <w:lang w:eastAsia="ru-RU"/>
        </w:rPr>
        <w:t>заседания комиссии по рассмотрению споров о результатах</w:t>
      </w:r>
    </w:p>
    <w:p>
      <w:pPr>
        <w:pStyle w:val="Style20"/>
        <w:widowControl w:val="false"/>
        <w:shd w:fill="FFFFFF" w:val="clear"/>
        <w:suppressAutoHyphens w:val="false"/>
        <w:autoSpaceDE w:val="false"/>
        <w:jc w:val="center"/>
        <w:textAlignment w:val="auto"/>
        <w:rPr>
          <w:bCs/>
          <w:spacing w:val="-2"/>
          <w:kern w:val="0"/>
          <w:sz w:val="26"/>
          <w:szCs w:val="26"/>
          <w:lang w:eastAsia="ru-RU"/>
        </w:rPr>
      </w:pPr>
      <w:r>
        <w:rPr>
          <w:bCs/>
          <w:spacing w:val="-2"/>
          <w:kern w:val="0"/>
          <w:sz w:val="26"/>
          <w:szCs w:val="26"/>
          <w:lang w:eastAsia="ru-RU"/>
        </w:rPr>
        <w:t>определения кадастровой стоимости при агентстве по управлению</w:t>
      </w:r>
    </w:p>
    <w:p>
      <w:pPr>
        <w:pStyle w:val="Style20"/>
        <w:widowControl w:val="false"/>
        <w:shd w:fill="FFFFFF" w:val="clear"/>
        <w:suppressAutoHyphens w:val="false"/>
        <w:autoSpaceDE w:val="false"/>
        <w:jc w:val="center"/>
        <w:textAlignment w:val="auto"/>
        <w:rPr/>
      </w:pPr>
      <w:r>
        <w:rPr>
          <w:rStyle w:val="Style13"/>
          <w:bCs/>
          <w:spacing w:val="-2"/>
          <w:kern w:val="0"/>
          <w:sz w:val="26"/>
          <w:szCs w:val="26"/>
          <w:lang w:eastAsia="ru-RU"/>
        </w:rPr>
        <w:t xml:space="preserve">государственным имуществом </w:t>
      </w:r>
      <w:r>
        <w:rPr>
          <w:rStyle w:val="Style13"/>
          <w:bCs/>
          <w:spacing w:val="-1"/>
          <w:kern w:val="0"/>
          <w:sz w:val="26"/>
          <w:szCs w:val="26"/>
          <w:lang w:eastAsia="ru-RU"/>
        </w:rPr>
        <w:t>Астраханской области</w:t>
      </w:r>
    </w:p>
    <w:p>
      <w:pPr>
        <w:pStyle w:val="Style20"/>
        <w:tabs>
          <w:tab w:val="clear" w:pos="680"/>
          <w:tab w:val="left" w:pos="3300" w:leader="none"/>
        </w:tabs>
        <w:spacing w:lineRule="atLeast" w:line="24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highlight w:val="white"/>
        </w:rPr>
        <w:t>г. Астрахань, ул. Советская, 12</w:t>
      </w:r>
      <w:r>
        <w:rPr>
          <w:bCs/>
          <w:sz w:val="22"/>
          <w:szCs w:val="22"/>
          <w:highlight w:val="white"/>
        </w:rPr>
        <w:tab/>
        <w:t xml:space="preserve">                                                                                          </w:t>
      </w:r>
      <w:r>
        <w:rPr>
          <w:bCs/>
          <w:sz w:val="22"/>
          <w:szCs w:val="22"/>
          <w:highlight w:val="white"/>
        </w:rPr>
        <w:t>12.03</w:t>
      </w:r>
      <w:r>
        <w:rPr>
          <w:bCs/>
          <w:sz w:val="22"/>
          <w:szCs w:val="22"/>
          <w:highlight w:val="white"/>
        </w:rPr>
        <w:t>.2020</w:t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highlight w:val="white"/>
        </w:rPr>
        <w:t xml:space="preserve">                                                                                                                                                            </w:t>
      </w:r>
      <w:r>
        <w:rPr>
          <w:bCs/>
          <w:sz w:val="22"/>
          <w:szCs w:val="22"/>
          <w:highlight w:val="white"/>
        </w:rPr>
        <w:t>14:00</w:t>
      </w:r>
      <w:r>
        <w:rPr>
          <w:bCs/>
          <w:sz w:val="22"/>
          <w:szCs w:val="22"/>
          <w:highlight w:val="white"/>
        </w:rPr>
        <w:t xml:space="preserve">                         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</w:t>
      </w:r>
      <w:r>
        <w:rPr>
          <w:bCs/>
          <w:sz w:val="22"/>
          <w:szCs w:val="22"/>
          <w:highlight w:val="white"/>
        </w:rPr>
        <w:t xml:space="preserve">       </w:t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</w:r>
    </w:p>
    <w:tbl>
      <w:tblPr>
        <w:tblW w:w="9471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0"/>
        <w:gridCol w:w="1980"/>
        <w:gridCol w:w="347"/>
        <w:gridCol w:w="4084"/>
      </w:tblGrid>
      <w:tr>
        <w:trPr>
          <w:trHeight w:val="980" w:hRule="atLeast"/>
        </w:trPr>
        <w:tc>
          <w:tcPr>
            <w:tcW w:w="3060" w:type="dxa"/>
            <w:tcBorders/>
            <w:shd w:fill="auto" w:val="clear"/>
          </w:tcPr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  <w:tc>
          <w:tcPr>
            <w:tcW w:w="1980" w:type="dxa"/>
            <w:tcBorders/>
            <w:shd w:fill="auto" w:val="clear"/>
          </w:tcPr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ind w:left="0" w:right="-313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Москвитина Н.В.</w:t>
            </w:r>
          </w:p>
        </w:tc>
        <w:tc>
          <w:tcPr>
            <w:tcW w:w="347" w:type="dxa"/>
            <w:tcBorders/>
            <w:shd w:fill="auto" w:val="clear"/>
          </w:tcPr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4084" w:type="dxa"/>
            <w:tcBorders/>
            <w:shd w:fill="auto" w:val="clear"/>
          </w:tcPr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агентства по управлению  государственным имуществом Астраханской области, председатель комиссии</w:t>
            </w:r>
          </w:p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ind w:left="286" w:right="0" w:hanging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060" w:type="dxa"/>
            <w:tcBorders/>
            <w:shd w:fill="auto" w:val="clear"/>
          </w:tcPr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Секретарь:</w:t>
            </w:r>
          </w:p>
        </w:tc>
        <w:tc>
          <w:tcPr>
            <w:tcW w:w="1980" w:type="dxa"/>
            <w:tcBorders/>
            <w:shd w:fill="auto" w:val="clear"/>
          </w:tcPr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ind w:left="0" w:right="-171" w:hanging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Тулешкалиева А.З.</w:t>
            </w:r>
          </w:p>
        </w:tc>
        <w:tc>
          <w:tcPr>
            <w:tcW w:w="347" w:type="dxa"/>
            <w:tcBorders/>
            <w:shd w:fill="auto" w:val="clear"/>
          </w:tcPr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4084" w:type="dxa"/>
            <w:tcBorders/>
            <w:shd w:fill="auto" w:val="clear"/>
          </w:tcPr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сектором ГКО отдела регулирования земельных отношений агентства</w:t>
            </w:r>
          </w:p>
        </w:tc>
      </w:tr>
    </w:tbl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ПРИСУТСТВОВАЛИ:</w:t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i/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Члены комиссии:</w:t>
      </w:r>
    </w:p>
    <w:tbl>
      <w:tblPr>
        <w:tblW w:w="9253" w:type="dxa"/>
        <w:jc w:val="left"/>
        <w:tblInd w:w="216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308"/>
        <w:gridCol w:w="6501"/>
      </w:tblGrid>
      <w:tr>
        <w:trPr>
          <w:trHeight w:val="1020" w:hRule="atLeast"/>
        </w:trPr>
        <w:tc>
          <w:tcPr>
            <w:tcW w:w="2444" w:type="dxa"/>
            <w:tcBorders/>
            <w:shd w:fill="auto" w:val="clear"/>
          </w:tcPr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Никулин Д.А.</w:t>
            </w:r>
          </w:p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Адамова Е.А.</w:t>
            </w:r>
          </w:p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Бакаева М.А.</w:t>
            </w:r>
          </w:p>
        </w:tc>
        <w:tc>
          <w:tcPr>
            <w:tcW w:w="308" w:type="dxa"/>
            <w:tcBorders/>
            <w:shd w:fill="auto" w:val="clear"/>
          </w:tcPr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</w:p>
        </w:tc>
        <w:tc>
          <w:tcPr>
            <w:tcW w:w="6501" w:type="dxa"/>
            <w:tcBorders/>
            <w:shd w:fill="auto" w:val="clear"/>
          </w:tcPr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руководителя Управления Росреестра по Астраханской области, заместитель председателя комиссии </w:t>
            </w:r>
          </w:p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эксперт - оценщик Астраханской Торгово-промышленной палаты</w:t>
            </w:r>
          </w:p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доходов бюджета министерства финансов Астраханской области</w:t>
            </w:r>
          </w:p>
        </w:tc>
      </w:tr>
    </w:tbl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i/>
          <w:i/>
          <w:iCs/>
          <w:sz w:val="24"/>
          <w:szCs w:val="24"/>
        </w:rPr>
      </w:pPr>
      <w:r>
        <w:rPr>
          <w:i/>
          <w:iCs/>
          <w:sz w:val="24"/>
          <w:szCs w:val="24"/>
        </w:rPr>
      </w:r>
    </w:p>
    <w:p>
      <w:pPr>
        <w:pStyle w:val="Style20"/>
        <w:tabs>
          <w:tab w:val="clear" w:pos="680"/>
          <w:tab w:val="left" w:pos="840" w:leader="none"/>
          <w:tab w:val="left" w:pos="3077" w:leader="none"/>
        </w:tabs>
        <w:spacing w:lineRule="atLeast" w:line="24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</w:t>
      </w:r>
      <w:r>
        <w:rPr>
          <w:iCs/>
          <w:sz w:val="24"/>
          <w:szCs w:val="24"/>
        </w:rPr>
        <w:t>Лисицкий А.В.                    -  оценщик ООО «Управляющая компания «Спектр»</w:t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i/>
          <w:i/>
          <w:iCs/>
          <w:sz w:val="24"/>
          <w:szCs w:val="24"/>
        </w:rPr>
      </w:pPr>
      <w:r>
        <w:rPr>
          <w:i/>
          <w:iCs/>
          <w:sz w:val="24"/>
          <w:szCs w:val="24"/>
        </w:rPr>
      </w:r>
    </w:p>
    <w:p>
      <w:pPr>
        <w:pStyle w:val="Style20"/>
        <w:tabs>
          <w:tab w:val="clear" w:pos="680"/>
          <w:tab w:val="left" w:pos="840" w:leader="none"/>
          <w:tab w:val="left" w:pos="2769" w:leader="none"/>
        </w:tabs>
        <w:spacing w:lineRule="atLeast" w:line="240"/>
        <w:jc w:val="both"/>
        <w:rPr/>
      </w:pPr>
      <w:r>
        <w:rPr>
          <w:rStyle w:val="Style13"/>
          <w:iCs/>
          <w:sz w:val="24"/>
          <w:szCs w:val="24"/>
        </w:rPr>
        <w:t xml:space="preserve">   </w:t>
      </w:r>
      <w:r>
        <w:rPr>
          <w:rStyle w:val="Style13"/>
          <w:iCs/>
          <w:sz w:val="24"/>
          <w:szCs w:val="24"/>
        </w:rPr>
        <w:t>Макаров Ю.А.</w:t>
        <w:tab/>
        <w:t xml:space="preserve">- председатель Правления Астраханского регионального                                      </w:t>
      </w:r>
      <w:r>
        <w:rPr>
          <w:rStyle w:val="Style13"/>
          <w:i/>
          <w:iCs/>
          <w:sz w:val="24"/>
          <w:szCs w:val="24"/>
        </w:rPr>
        <w:tab/>
        <w:t xml:space="preserve">                                      </w:t>
      </w:r>
      <w:r>
        <w:rPr>
          <w:rStyle w:val="Style13"/>
          <w:iCs/>
          <w:sz w:val="24"/>
          <w:szCs w:val="24"/>
        </w:rPr>
        <w:t xml:space="preserve">отделения РОО, оценщик ООО «Независимое агентство                         </w:t>
      </w:r>
    </w:p>
    <w:p>
      <w:pPr>
        <w:pStyle w:val="Style20"/>
        <w:tabs>
          <w:tab w:val="clear" w:pos="680"/>
          <w:tab w:val="left" w:pos="3194" w:leader="none"/>
        </w:tabs>
        <w:spacing w:lineRule="atLeast" w:line="24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                               </w:t>
      </w:r>
      <w:r>
        <w:rPr>
          <w:iCs/>
          <w:sz w:val="24"/>
          <w:szCs w:val="24"/>
        </w:rPr>
        <w:t>«Эксперт-Сервис»</w:t>
      </w:r>
    </w:p>
    <w:p>
      <w:pPr>
        <w:pStyle w:val="Style20"/>
        <w:tabs>
          <w:tab w:val="clear" w:pos="680"/>
          <w:tab w:val="left" w:pos="840" w:leader="none"/>
          <w:tab w:val="left" w:pos="2769" w:leader="none"/>
        </w:tabs>
        <w:spacing w:lineRule="atLeast" w:line="240"/>
        <w:jc w:val="both"/>
        <w:rPr/>
      </w:pPr>
      <w:r>
        <w:rPr>
          <w:rStyle w:val="Style13"/>
          <w:iCs/>
          <w:sz w:val="22"/>
          <w:szCs w:val="22"/>
        </w:rPr>
        <w:t xml:space="preserve"> </w:t>
      </w:r>
    </w:p>
    <w:p>
      <w:pPr>
        <w:pStyle w:val="Style20"/>
        <w:tabs>
          <w:tab w:val="clear" w:pos="680"/>
          <w:tab w:val="left" w:pos="840" w:leader="none"/>
          <w:tab w:val="left" w:pos="2777" w:leader="none"/>
        </w:tabs>
        <w:spacing w:lineRule="atLeast" w:line="24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</w:t>
      </w:r>
      <w:r>
        <w:rPr>
          <w:iCs/>
          <w:sz w:val="24"/>
          <w:szCs w:val="24"/>
        </w:rPr>
        <w:t>Султанова Л.К.</w:t>
        <w:tab/>
        <w:t xml:space="preserve">- заместитель министра экономического развития Астраханской </w:t>
      </w:r>
    </w:p>
    <w:p>
      <w:pPr>
        <w:pStyle w:val="Style20"/>
        <w:tabs>
          <w:tab w:val="clear" w:pos="680"/>
          <w:tab w:val="left" w:pos="2777" w:leader="none"/>
        </w:tabs>
        <w:spacing w:lineRule="atLeast" w:line="24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ab/>
        <w:t>области</w:t>
      </w:r>
    </w:p>
    <w:p>
      <w:pPr>
        <w:pStyle w:val="Style20"/>
        <w:tabs>
          <w:tab w:val="clear" w:pos="680"/>
          <w:tab w:val="left" w:pos="2777" w:leader="none"/>
        </w:tabs>
        <w:spacing w:lineRule="atLeast" w:line="240"/>
        <w:jc w:val="both"/>
        <w:rPr>
          <w:i/>
          <w:i/>
          <w:iCs/>
          <w:sz w:val="24"/>
          <w:szCs w:val="24"/>
        </w:rPr>
      </w:pPr>
      <w:r>
        <w:rPr>
          <w:i/>
          <w:iCs/>
          <w:sz w:val="24"/>
          <w:szCs w:val="24"/>
        </w:rPr>
      </w:r>
    </w:p>
    <w:p>
      <w:pPr>
        <w:pStyle w:val="Style20"/>
        <w:tabs>
          <w:tab w:val="clear" w:pos="680"/>
          <w:tab w:val="left" w:pos="2777" w:leader="none"/>
        </w:tabs>
        <w:spacing w:lineRule="atLeast" w:line="240"/>
        <w:jc w:val="both"/>
        <w:rPr>
          <w:i/>
          <w:i/>
          <w:iCs/>
          <w:sz w:val="24"/>
          <w:szCs w:val="24"/>
        </w:rPr>
      </w:pPr>
      <w:r>
        <w:rPr>
          <w:i/>
          <w:iCs/>
          <w:sz w:val="24"/>
          <w:szCs w:val="24"/>
        </w:rPr>
      </w:r>
    </w:p>
    <w:p>
      <w:pPr>
        <w:pStyle w:val="Style20"/>
        <w:tabs>
          <w:tab w:val="clear" w:pos="680"/>
          <w:tab w:val="left" w:pos="2777" w:leader="none"/>
        </w:tabs>
        <w:spacing w:lineRule="atLeast" w:line="240"/>
        <w:jc w:val="both"/>
        <w:rPr/>
      </w:pPr>
      <w:r>
        <w:rPr>
          <w:rStyle w:val="Style13"/>
          <w:i/>
          <w:iCs/>
          <w:sz w:val="24"/>
          <w:szCs w:val="24"/>
        </w:rPr>
        <w:t>Присутствующие на заседании комиссии и не являющиеся членами комиссии:</w:t>
      </w:r>
    </w:p>
    <w:tbl>
      <w:tblPr>
        <w:tblW w:w="9495" w:type="dxa"/>
        <w:jc w:val="left"/>
        <w:tblInd w:w="70" w:type="dxa"/>
        <w:tblCellMar>
          <w:top w:w="0" w:type="dxa"/>
          <w:left w:w="40" w:type="dxa"/>
          <w:bottom w:w="0" w:type="dxa"/>
          <w:right w:w="40" w:type="dxa"/>
        </w:tblCellMar>
      </w:tblPr>
      <w:tblGrid>
        <w:gridCol w:w="2385"/>
        <w:gridCol w:w="420"/>
        <w:gridCol w:w="6690"/>
      </w:tblGrid>
      <w:tr>
        <w:trPr>
          <w:trHeight w:val="630" w:hRule="exact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Бурякова О.А.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руководителя агентства </w:t>
            </w:r>
            <w:r>
              <w:rPr>
                <w:bCs/>
                <w:spacing w:val="-2"/>
                <w:kern w:val="0"/>
                <w:sz w:val="25"/>
                <w:szCs w:val="25"/>
                <w:lang w:eastAsia="ru-RU"/>
              </w:rPr>
              <w:t>по управлению</w:t>
            </w:r>
          </w:p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rStyle w:val="Style13"/>
                <w:bCs/>
                <w:spacing w:val="-2"/>
                <w:kern w:val="0"/>
                <w:sz w:val="25"/>
                <w:szCs w:val="25"/>
                <w:lang w:eastAsia="ru-RU"/>
              </w:rPr>
              <w:t xml:space="preserve">государственным имуществом </w:t>
            </w:r>
            <w:r>
              <w:rPr>
                <w:rStyle w:val="Style13"/>
                <w:bCs/>
                <w:spacing w:val="-1"/>
                <w:kern w:val="0"/>
                <w:sz w:val="25"/>
                <w:szCs w:val="25"/>
                <w:lang w:eastAsia="ru-RU"/>
              </w:rPr>
              <w:t>Астраханской области</w:t>
            </w:r>
          </w:p>
        </w:tc>
      </w:tr>
      <w:tr>
        <w:trPr>
          <w:trHeight w:val="586" w:hRule="exact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Кононенко С.В.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ГБУ АО «БТИ»</w:t>
            </w:r>
          </w:p>
        </w:tc>
      </w:tr>
      <w:tr>
        <w:trPr>
          <w:trHeight w:val="580" w:hRule="exact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Нестеренко Н.И.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представитель заявителя </w:t>
            </w:r>
          </w:p>
        </w:tc>
      </w:tr>
      <w:tr>
        <w:trPr>
          <w:trHeight w:val="580" w:hRule="exact"/>
        </w:trPr>
        <w:tc>
          <w:tcPr>
            <w:tcW w:w="23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Хаметов Р.Н.</w:t>
            </w:r>
          </w:p>
        </w:tc>
        <w:tc>
          <w:tcPr>
            <w:tcW w:w="4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6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FFFFFF" w:val="clear"/>
          </w:tcPr>
          <w:p>
            <w:pPr>
              <w:pStyle w:val="Style20"/>
              <w:tabs>
                <w:tab w:val="clear" w:pos="680"/>
                <w:tab w:val="left" w:pos="840" w:leader="none"/>
              </w:tabs>
              <w:spacing w:lineRule="atLeast" w:lin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ООО ЭА «Дело+»</w:t>
            </w:r>
          </w:p>
        </w:tc>
      </w:tr>
    </w:tbl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ПОВЕСТКА ЗАСЕДАНИЯ:</w:t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sz w:val="25"/>
          <w:szCs w:val="25"/>
          <w:u w:val="single"/>
        </w:rPr>
      </w:pPr>
      <w:r>
        <w:rPr>
          <w:sz w:val="25"/>
          <w:szCs w:val="25"/>
          <w:u w:val="single"/>
        </w:rPr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/>
      </w:pPr>
      <w:r>
        <w:rPr>
          <w:sz w:val="25"/>
          <w:szCs w:val="25"/>
        </w:rPr>
        <w:tab/>
      </w:r>
      <w:r>
        <w:rPr>
          <w:sz w:val="26"/>
        </w:rPr>
        <w:t>1.</w:t>
      </w:r>
      <w:r>
        <w:rPr>
          <w:caps w:val="false"/>
          <w:smallCaps w:val="false"/>
          <w:sz w:val="26"/>
        </w:rPr>
        <w:t xml:space="preserve"> </w:t>
      </w:r>
      <w:r>
        <w:rPr>
          <w:sz w:val="26"/>
        </w:rPr>
        <w:t xml:space="preserve">О рассмотрении заявления </w:t>
      </w:r>
      <w:r>
        <w:rPr>
          <w:sz w:val="26"/>
        </w:rPr>
        <w:t>ООО «Остров»</w:t>
      </w:r>
      <w:r>
        <w:rPr>
          <w:sz w:val="26"/>
        </w:rPr>
        <w:t xml:space="preserve"> о пересмотре кадастровой стоимости объекта недвижимости (здания) с кадастровым номером </w:t>
      </w:r>
      <w:r>
        <w:rPr>
          <w:sz w:val="26"/>
        </w:rPr>
        <w:t>30:06:100617:510</w:t>
      </w:r>
      <w:r>
        <w:rPr>
          <w:sz w:val="26"/>
        </w:rPr>
        <w:t xml:space="preserve"> в связи с установлением его рыночной стоимости.</w:t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sz w:val="26"/>
        </w:rPr>
      </w:pPr>
      <w:r>
        <w:rPr>
          <w:sz w:val="26"/>
        </w:rPr>
      </w:r>
    </w:p>
    <w:p>
      <w:pPr>
        <w:pStyle w:val="Style19"/>
        <w:tabs>
          <w:tab w:val="clear" w:pos="680"/>
          <w:tab w:val="left" w:pos="840" w:leader="none"/>
        </w:tabs>
        <w:spacing w:lineRule="atLeast" w:line="240"/>
        <w:jc w:val="both"/>
        <w:rPr>
          <w:sz w:val="26"/>
          <w:u w:val="single"/>
        </w:rPr>
      </w:pPr>
      <w:r>
        <w:rPr>
          <w:sz w:val="26"/>
          <w:u w:val="single"/>
        </w:rPr>
        <w:t xml:space="preserve">Слушали: </w:t>
      </w:r>
    </w:p>
    <w:p>
      <w:pPr>
        <w:pStyle w:val="Style19"/>
        <w:shd w:fill="FFFFFF" w:val="clear"/>
        <w:spacing w:before="0" w:after="283"/>
        <w:ind w:left="0" w:right="0" w:firstLine="720"/>
        <w:jc w:val="both"/>
        <w:rPr/>
      </w:pPr>
      <w:r>
        <w:rPr>
          <w:sz w:val="26"/>
        </w:rPr>
        <w:t>Москвитина Н.В.</w:t>
      </w:r>
      <w:r>
        <w:rPr>
          <w:sz w:val="26"/>
        </w:rPr>
        <w:t xml:space="preserve"> объявила заседание </w:t>
      </w:r>
      <w:r>
        <w:rPr>
          <w:sz w:val="26"/>
        </w:rPr>
        <w:t>к</w:t>
      </w:r>
      <w:r>
        <w:rPr>
          <w:sz w:val="26"/>
        </w:rPr>
        <w:t xml:space="preserve">омиссии открытым. Отметила, что на заседании присутствуют </w:t>
      </w:r>
      <w:r>
        <w:rPr>
          <w:sz w:val="26"/>
          <w:highlight w:val="white"/>
        </w:rPr>
        <w:t>7</w:t>
      </w:r>
      <w:r>
        <w:rPr>
          <w:sz w:val="26"/>
          <w:highlight w:val="white"/>
        </w:rPr>
        <w:t xml:space="preserve"> </w:t>
      </w:r>
      <w:r>
        <w:rPr>
          <w:sz w:val="26"/>
        </w:rPr>
        <w:t>член</w:t>
      </w:r>
      <w:r>
        <w:rPr>
          <w:sz w:val="26"/>
        </w:rPr>
        <w:t>ов</w:t>
      </w:r>
      <w:r>
        <w:rPr>
          <w:sz w:val="26"/>
        </w:rPr>
        <w:t xml:space="preserve"> комиссии из </w:t>
      </w:r>
      <w:r>
        <w:rPr>
          <w:sz w:val="26"/>
        </w:rPr>
        <w:t>восьми</w:t>
      </w:r>
      <w:r>
        <w:rPr>
          <w:sz w:val="26"/>
        </w:rPr>
        <w:t xml:space="preserve"> (</w:t>
      </w:r>
      <w:r>
        <w:rPr>
          <w:sz w:val="26"/>
        </w:rPr>
        <w:t xml:space="preserve">87,5 </w:t>
      </w:r>
      <w:r>
        <w:rPr>
          <w:sz w:val="26"/>
        </w:rPr>
        <w:t xml:space="preserve">%), и в соответствии с </w:t>
      </w:r>
      <w:r>
        <w:rPr>
          <w:sz w:val="26"/>
          <w:highlight w:val="white"/>
        </w:rPr>
        <w:t>п.</w:t>
      </w:r>
      <w:r>
        <w:rPr>
          <w:sz w:val="26"/>
          <w:highlight w:val="white"/>
        </w:rPr>
        <w:t>3</w:t>
      </w:r>
      <w:r>
        <w:rPr>
          <w:sz w:val="26"/>
          <w:highlight w:val="white"/>
        </w:rPr>
        <w:t xml:space="preserve"> Порядка работы комиссии по рассмотрению споров о результатах определения кадастровой стоимости, утвержденного приказом Минэкономразвития России от </w:t>
      </w:r>
      <w:r>
        <w:rPr>
          <w:sz w:val="26"/>
          <w:highlight w:val="white"/>
        </w:rPr>
        <w:t>17</w:t>
      </w:r>
      <w:r>
        <w:rPr>
          <w:sz w:val="26"/>
          <w:highlight w:val="white"/>
        </w:rPr>
        <w:t>.</w:t>
      </w:r>
      <w:r>
        <w:rPr>
          <w:sz w:val="26"/>
          <w:highlight w:val="white"/>
        </w:rPr>
        <w:t>11</w:t>
      </w:r>
      <w:r>
        <w:rPr>
          <w:sz w:val="26"/>
          <w:highlight w:val="white"/>
        </w:rPr>
        <w:t>.201</w:t>
      </w:r>
      <w:r>
        <w:rPr>
          <w:sz w:val="26"/>
          <w:highlight w:val="white"/>
        </w:rPr>
        <w:t>7</w:t>
      </w:r>
      <w:r>
        <w:rPr>
          <w:sz w:val="26"/>
          <w:highlight w:val="white"/>
        </w:rPr>
        <w:t xml:space="preserve"> № </w:t>
      </w:r>
      <w:r>
        <w:rPr>
          <w:sz w:val="26"/>
          <w:highlight w:val="white"/>
        </w:rPr>
        <w:t>620</w:t>
      </w:r>
      <w:r>
        <w:rPr>
          <w:sz w:val="26"/>
          <w:highlight w:val="white"/>
        </w:rPr>
        <w:t xml:space="preserve"> (далее – Порядок),</w:t>
      </w:r>
      <w:r>
        <w:rPr>
          <w:sz w:val="26"/>
        </w:rPr>
        <w:t xml:space="preserve"> </w:t>
      </w:r>
      <w:r>
        <w:rPr>
          <w:sz w:val="26"/>
        </w:rPr>
        <w:t xml:space="preserve">кворум имеется. На заседании комиссии представлено мотивировочное суждение ГБУ АО «БТИ» </w:t>
      </w:r>
      <w:r>
        <w:rPr>
          <w:sz w:val="26"/>
        </w:rPr>
        <w:t xml:space="preserve">на отчет об оценке </w:t>
      </w:r>
      <w:r>
        <w:rPr>
          <w:sz w:val="26"/>
          <w:szCs w:val="25"/>
          <w:highlight w:val="white"/>
        </w:rPr>
        <w:t xml:space="preserve">от 07.10.2019 № 30-09-1-1 </w:t>
      </w:r>
      <w:r>
        <w:rPr>
          <w:sz w:val="26"/>
        </w:rPr>
        <w:t xml:space="preserve"> (письмо от 02.03.2020  № 1552) </w:t>
      </w:r>
    </w:p>
    <w:p>
      <w:pPr>
        <w:pStyle w:val="Style19"/>
        <w:spacing w:before="0" w:after="283"/>
        <w:ind w:left="0" w:right="0" w:firstLine="709"/>
        <w:jc w:val="both"/>
        <w:rPr>
          <w:sz w:val="26"/>
        </w:rPr>
      </w:pPr>
      <w:r>
        <w:rPr>
          <w:sz w:val="26"/>
        </w:rPr>
        <w:t xml:space="preserve">Заявление </w:t>
      </w:r>
      <w:r>
        <w:rPr>
          <w:sz w:val="26"/>
        </w:rPr>
        <w:t>ООО «Остров»</w:t>
      </w:r>
      <w:r>
        <w:rPr>
          <w:sz w:val="26"/>
        </w:rPr>
        <w:t xml:space="preserve"> о пересмотре кадастровой стоимости объекта недвижимости (здания) с кадастровым номером 30:</w:t>
      </w:r>
      <w:r>
        <w:rPr>
          <w:sz w:val="26"/>
        </w:rPr>
        <w:t>06</w:t>
      </w:r>
      <w:r>
        <w:rPr>
          <w:sz w:val="26"/>
        </w:rPr>
        <w:t>:</w:t>
      </w:r>
      <w:r>
        <w:rPr>
          <w:sz w:val="26"/>
        </w:rPr>
        <w:t>100617</w:t>
      </w:r>
      <w:r>
        <w:rPr>
          <w:sz w:val="26"/>
        </w:rPr>
        <w:t>:</w:t>
      </w:r>
      <w:r>
        <w:rPr>
          <w:sz w:val="26"/>
        </w:rPr>
        <w:t>510</w:t>
      </w:r>
      <w:r>
        <w:rPr>
          <w:sz w:val="26"/>
        </w:rPr>
        <w:t xml:space="preserve"> в связи с установлением его рыночной стоимости по состоянию на дату определения кадастровой стоимости.</w:t>
      </w:r>
    </w:p>
    <w:p>
      <w:pPr>
        <w:pStyle w:val="Style19"/>
        <w:spacing w:before="0" w:after="283"/>
        <w:jc w:val="both"/>
        <w:rPr>
          <w:sz w:val="26"/>
          <w:u w:val="single"/>
        </w:rPr>
      </w:pPr>
      <w:r>
        <w:rPr>
          <w:sz w:val="26"/>
          <w:u w:val="single"/>
        </w:rPr>
        <w:t>Рассмотрели:</w:t>
      </w:r>
    </w:p>
    <w:tbl>
      <w:tblPr>
        <w:tblW w:w="9495" w:type="dxa"/>
        <w:jc w:val="left"/>
        <w:tblInd w:w="0" w:type="dxa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3405"/>
        <w:gridCol w:w="6090"/>
      </w:tblGrid>
      <w:tr>
        <w:trPr/>
        <w:tc>
          <w:tcPr>
            <w:tcW w:w="3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Style33"/>
              <w:spacing w:before="0" w:after="283"/>
              <w:jc w:val="both"/>
              <w:rPr>
                <w:sz w:val="24"/>
              </w:rPr>
            </w:pPr>
            <w:r>
              <w:rPr>
                <w:sz w:val="24"/>
              </w:rPr>
              <w:t>Заявитель</w:t>
            </w:r>
          </w:p>
        </w:tc>
        <w:tc>
          <w:tcPr>
            <w:tcW w:w="60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  <w:tcMar>
              <w:left w:w="0" w:type="dxa"/>
            </w:tcMar>
          </w:tcPr>
          <w:p>
            <w:pPr>
              <w:pStyle w:val="Style33"/>
              <w:spacing w:before="0" w:after="283"/>
              <w:jc w:val="both"/>
              <w:rPr>
                <w:sz w:val="24"/>
              </w:rPr>
            </w:pPr>
            <w:r>
              <w:rPr>
                <w:sz w:val="24"/>
              </w:rPr>
              <w:t>ООО «Остров»</w:t>
            </w:r>
          </w:p>
          <w:p>
            <w:pPr>
              <w:pStyle w:val="Style19"/>
              <w:spacing w:before="0" w:after="283"/>
              <w:jc w:val="both"/>
              <w:rPr>
                <w:sz w:val="24"/>
              </w:rPr>
            </w:pPr>
            <w:r>
              <w:rPr>
                <w:sz w:val="24"/>
              </w:rPr>
              <w:t>Юридический адрес: ________________________</w:t>
            </w:r>
          </w:p>
          <w:p>
            <w:pPr>
              <w:pStyle w:val="Style19"/>
              <w:bidi w:val="0"/>
              <w:spacing w:before="0" w:after="0"/>
              <w:jc w:val="both"/>
              <w:rPr>
                <w:sz w:val="24"/>
              </w:rPr>
            </w:pPr>
            <w:r>
              <w:rPr>
                <w:sz w:val="24"/>
              </w:rPr>
              <w:t>ИНН _____________</w:t>
            </w:r>
          </w:p>
          <w:p>
            <w:pPr>
              <w:pStyle w:val="Style19"/>
              <w:bidi w:val="0"/>
              <w:spacing w:before="0" w:after="0"/>
              <w:jc w:val="both"/>
              <w:rPr>
                <w:sz w:val="24"/>
              </w:rPr>
            </w:pPr>
            <w:r>
              <w:rPr>
                <w:sz w:val="24"/>
              </w:rPr>
              <w:t>ОГРН: ____________</w:t>
            </w:r>
          </w:p>
        </w:tc>
      </w:tr>
      <w:tr>
        <w:trPr/>
        <w:tc>
          <w:tcPr>
            <w:tcW w:w="34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Style33"/>
              <w:bidi w:val="0"/>
              <w:spacing w:before="0" w:after="0"/>
              <w:rPr>
                <w:sz w:val="24"/>
              </w:rPr>
            </w:pPr>
            <w:r>
              <w:rPr>
                <w:sz w:val="24"/>
              </w:rPr>
              <w:t xml:space="preserve">Кадастровый номер </w:t>
            </w:r>
          </w:p>
          <w:p>
            <w:pPr>
              <w:pStyle w:val="Style33"/>
              <w:bidi w:val="0"/>
              <w:spacing w:before="0" w:after="0"/>
              <w:rPr>
                <w:sz w:val="24"/>
              </w:rPr>
            </w:pPr>
            <w:r>
              <w:rPr>
                <w:sz w:val="24"/>
              </w:rPr>
              <w:t>объекта недвижимости (здания),</w:t>
            </w:r>
          </w:p>
          <w:p>
            <w:pPr>
              <w:pStyle w:val="Style33"/>
              <w:bidi w:val="0"/>
              <w:spacing w:before="0" w:after="0"/>
              <w:rPr>
                <w:sz w:val="24"/>
              </w:rPr>
            </w:pPr>
            <w:r>
              <w:rPr>
                <w:sz w:val="24"/>
              </w:rPr>
              <w:t>его местонахождение и адрес</w:t>
            </w:r>
          </w:p>
          <w:p>
            <w:pPr>
              <w:pStyle w:val="Style33"/>
              <w:spacing w:before="0" w:after="283"/>
              <w:rPr/>
            </w:pPr>
            <w:r>
              <w:rPr/>
            </w:r>
          </w:p>
          <w:p>
            <w:pPr>
              <w:pStyle w:val="Style33"/>
              <w:spacing w:before="0" w:after="283"/>
              <w:rPr>
                <w:sz w:val="24"/>
              </w:rPr>
            </w:pPr>
            <w:r>
              <w:rPr>
                <w:sz w:val="24"/>
              </w:rPr>
              <w:t>объект оценки</w:t>
            </w:r>
          </w:p>
          <w:p>
            <w:pPr>
              <w:pStyle w:val="Style33"/>
              <w:spacing w:before="0" w:after="283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</w:tc>
        <w:tc>
          <w:tcPr>
            <w:tcW w:w="6090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  <w:tcMar>
              <w:top w:w="0" w:type="dxa"/>
              <w:left w:w="0" w:type="dxa"/>
            </w:tcMar>
          </w:tcPr>
          <w:p>
            <w:pPr>
              <w:pStyle w:val="Style33"/>
              <w:spacing w:before="0" w:after="283"/>
              <w:jc w:val="both"/>
              <w:rPr>
                <w:sz w:val="24"/>
              </w:rPr>
            </w:pPr>
            <w:r>
              <w:rPr>
                <w:sz w:val="24"/>
              </w:rPr>
              <w:t>30:06:100617:510</w:t>
            </w:r>
          </w:p>
          <w:p>
            <w:pPr>
              <w:pStyle w:val="Style33"/>
              <w:spacing w:before="0" w:after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Астраханская область, Красноярский район, с. Красный Яр, ул. Ватаженская, д. 4 к</w:t>
            </w:r>
          </w:p>
          <w:p>
            <w:pPr>
              <w:pStyle w:val="Style33"/>
              <w:spacing w:before="0" w:after="283"/>
              <w:jc w:val="both"/>
              <w:rPr/>
            </w:pPr>
            <w:r>
              <w:rPr>
                <w:sz w:val="24"/>
              </w:rPr>
              <w:t>административно</w:t>
            </w:r>
            <w:r>
              <w:rPr>
                <w:sz w:val="24"/>
              </w:rPr>
              <w:t xml:space="preserve">е </w:t>
            </w:r>
            <w:r>
              <w:rPr>
                <w:sz w:val="24"/>
              </w:rPr>
              <w:t>здание</w:t>
            </w:r>
          </w:p>
          <w:p>
            <w:pPr>
              <w:pStyle w:val="Style33"/>
              <w:spacing w:before="0" w:after="283"/>
              <w:jc w:val="both"/>
              <w:rPr/>
            </w:pPr>
            <w:r>
              <w:rPr>
                <w:sz w:val="24"/>
                <w:szCs w:val="24"/>
              </w:rPr>
              <w:t>1568,7</w:t>
            </w:r>
            <w:r>
              <w:rPr>
                <w:sz w:val="24"/>
                <w:szCs w:val="24"/>
              </w:rPr>
              <w:t xml:space="preserve"> кв.м.</w:t>
            </w:r>
          </w:p>
        </w:tc>
      </w:tr>
      <w:tr>
        <w:trPr/>
        <w:tc>
          <w:tcPr>
            <w:tcW w:w="34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Style33"/>
              <w:spacing w:before="0" w:after="283"/>
              <w:rPr>
                <w:sz w:val="24"/>
              </w:rPr>
            </w:pPr>
            <w:r>
              <w:rPr>
                <w:sz w:val="24"/>
              </w:rPr>
              <w:t xml:space="preserve">Кадастровая стоимость объекта недвижимости (здания), </w:t>
            </w:r>
          </w:p>
          <w:p>
            <w:pPr>
              <w:pStyle w:val="Style33"/>
              <w:spacing w:before="0" w:after="283"/>
              <w:rPr>
                <w:sz w:val="24"/>
              </w:rPr>
            </w:pPr>
            <w:r>
              <w:rPr>
                <w:sz w:val="24"/>
              </w:rPr>
              <w:t xml:space="preserve">дата её определения </w:t>
            </w:r>
          </w:p>
        </w:tc>
        <w:tc>
          <w:tcPr>
            <w:tcW w:w="6090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  <w:tcMar>
              <w:top w:w="0" w:type="dxa"/>
              <w:left w:w="0" w:type="dxa"/>
            </w:tcMar>
          </w:tcPr>
          <w:p>
            <w:pPr>
              <w:pStyle w:val="Style33"/>
              <w:bidi w:val="0"/>
              <w:spacing w:before="0" w:after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27 287 180,19 </w:t>
            </w:r>
            <w:r>
              <w:rPr>
                <w:sz w:val="24"/>
              </w:rPr>
              <w:t xml:space="preserve">рублей. </w:t>
            </w:r>
          </w:p>
          <w:p>
            <w:pPr>
              <w:pStyle w:val="Style33"/>
              <w:bidi w:val="0"/>
              <w:spacing w:before="0" w:after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pStyle w:val="Style33"/>
              <w:bidi w:val="0"/>
              <w:spacing w:before="0" w:after="0"/>
              <w:jc w:val="both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Style33"/>
              <w:bidi w:val="0"/>
              <w:spacing w:before="0" w:after="0"/>
              <w:jc w:val="both"/>
              <w:rPr>
                <w:sz w:val="24"/>
              </w:rPr>
            </w:pPr>
            <w:r>
              <w:rPr>
                <w:sz w:val="24"/>
                <w:szCs w:val="24"/>
                <w:highlight w:val="white"/>
              </w:rPr>
              <w:t>0</w:t>
            </w:r>
            <w:r>
              <w:rPr>
                <w:sz w:val="24"/>
                <w:szCs w:val="24"/>
                <w:highlight w:val="white"/>
              </w:rPr>
              <w:t>1.01.2019</w:t>
            </w:r>
          </w:p>
        </w:tc>
      </w:tr>
      <w:tr>
        <w:trPr/>
        <w:tc>
          <w:tcPr>
            <w:tcW w:w="34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Style33"/>
              <w:spacing w:before="0" w:after="283"/>
              <w:rPr>
                <w:sz w:val="24"/>
              </w:rPr>
            </w:pPr>
            <w:r>
              <w:rPr>
                <w:sz w:val="24"/>
              </w:rPr>
              <w:t xml:space="preserve">Рыночная стоимость объекта недвижимости (здания), </w:t>
            </w:r>
          </w:p>
          <w:p>
            <w:pPr>
              <w:pStyle w:val="Style33"/>
              <w:spacing w:before="0" w:after="283"/>
              <w:rPr>
                <w:sz w:val="24"/>
              </w:rPr>
            </w:pPr>
            <w:r>
              <w:rPr>
                <w:sz w:val="24"/>
              </w:rPr>
              <w:t>дата, по состоянию на которую определялась рыночная стоимость</w:t>
            </w:r>
          </w:p>
        </w:tc>
        <w:tc>
          <w:tcPr>
            <w:tcW w:w="6090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  <w:tcMar>
              <w:top w:w="0" w:type="dxa"/>
              <w:left w:w="0" w:type="dxa"/>
            </w:tcMar>
          </w:tcPr>
          <w:p>
            <w:pPr>
              <w:pStyle w:val="Style33"/>
              <w:spacing w:before="0" w:after="283"/>
              <w:jc w:val="both"/>
              <w:rPr>
                <w:sz w:val="24"/>
              </w:rPr>
            </w:pPr>
            <w:r>
              <w:rPr>
                <w:sz w:val="24"/>
              </w:rPr>
              <w:t>16 105 721,00</w:t>
            </w:r>
            <w:r>
              <w:rPr>
                <w:sz w:val="24"/>
              </w:rPr>
              <w:t xml:space="preserve"> рублей. </w:t>
            </w:r>
          </w:p>
          <w:p>
            <w:pPr>
              <w:pStyle w:val="Style33"/>
              <w:spacing w:before="0" w:after="283"/>
              <w:jc w:val="both"/>
              <w:rPr/>
            </w:pPr>
            <w:r>
              <w:rPr/>
            </w:r>
          </w:p>
          <w:p>
            <w:pPr>
              <w:pStyle w:val="Style33"/>
              <w:spacing w:before="0" w:after="283"/>
              <w:jc w:val="both"/>
              <w:rPr>
                <w:sz w:val="24"/>
              </w:rPr>
            </w:pPr>
            <w:r>
              <w:rPr>
                <w:sz w:val="24"/>
              </w:rPr>
              <w:t>01.01.2019</w:t>
            </w:r>
          </w:p>
        </w:tc>
      </w:tr>
      <w:tr>
        <w:trPr/>
        <w:tc>
          <w:tcPr>
            <w:tcW w:w="34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Style33"/>
              <w:spacing w:before="0" w:after="283"/>
              <w:rPr>
                <w:sz w:val="24"/>
              </w:rPr>
            </w:pPr>
            <w:r>
              <w:rPr>
                <w:sz w:val="24"/>
              </w:rPr>
              <w:t>Расхождение рыночной и кадастровой стоимости</w:t>
            </w:r>
          </w:p>
        </w:tc>
        <w:tc>
          <w:tcPr>
            <w:tcW w:w="6090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  <w:tcMar>
              <w:top w:w="0" w:type="dxa"/>
              <w:left w:w="0" w:type="dxa"/>
            </w:tcMar>
          </w:tcPr>
          <w:p>
            <w:pPr>
              <w:pStyle w:val="Style33"/>
              <w:spacing w:before="0" w:after="2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40,98 %</w:t>
            </w:r>
            <w:r>
              <w:rPr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rPr/>
        <w:tc>
          <w:tcPr>
            <w:tcW w:w="34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  <w:tcMar>
              <w:top w:w="0" w:type="dxa"/>
            </w:tcMar>
          </w:tcPr>
          <w:p>
            <w:pPr>
              <w:pStyle w:val="Style33"/>
              <w:spacing w:before="0" w:after="283"/>
              <w:rPr>
                <w:sz w:val="24"/>
              </w:rPr>
            </w:pPr>
            <w:r>
              <w:rPr>
                <w:sz w:val="24"/>
              </w:rPr>
              <w:t>Сведения о СРО оценщиков, члены которой осуществили определение кадастровой стоимости объекта недвижимости (здания)</w:t>
            </w:r>
          </w:p>
        </w:tc>
        <w:tc>
          <w:tcPr>
            <w:tcW w:w="6090" w:type="dxa"/>
            <w:tcBorders>
              <w:bottom w:val="single" w:sz="8" w:space="0" w:color="000000"/>
              <w:right w:val="single" w:sz="8" w:space="0" w:color="000000"/>
            </w:tcBorders>
            <w:shd w:fill="auto" w:val="clear"/>
            <w:tcMar>
              <w:top w:w="0" w:type="dxa"/>
              <w:left w:w="0" w:type="dxa"/>
            </w:tcMar>
          </w:tcPr>
          <w:p>
            <w:pPr>
              <w:pStyle w:val="Style33"/>
              <w:spacing w:before="0" w:after="283"/>
              <w:jc w:val="both"/>
              <w:rPr>
                <w:sz w:val="24"/>
              </w:rPr>
            </w:pPr>
            <w:r>
              <w:rPr>
                <w:sz w:val="24"/>
              </w:rPr>
              <w:t>СРО «</w:t>
            </w:r>
            <w:r>
              <w:rPr>
                <w:sz w:val="24"/>
              </w:rPr>
              <w:t xml:space="preserve">Региональная ассоциация оценщиков» </w:t>
            </w:r>
          </w:p>
        </w:tc>
      </w:tr>
    </w:tbl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sz w:val="25"/>
          <w:szCs w:val="25"/>
        </w:rPr>
      </w:pPr>
      <w:r>
        <w:rPr>
          <w:sz w:val="25"/>
          <w:szCs w:val="25"/>
        </w:rPr>
        <w:tab/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Выступили: </w:t>
      </w:r>
      <w:r>
        <w:rPr>
          <w:sz w:val="25"/>
          <w:szCs w:val="25"/>
        </w:rPr>
        <w:t xml:space="preserve">Москвитина Н.В., </w:t>
      </w:r>
      <w:r>
        <w:rPr>
          <w:sz w:val="25"/>
          <w:szCs w:val="25"/>
          <w:highlight w:val="white"/>
        </w:rPr>
        <w:t xml:space="preserve">Кононенко С.В., Бурякова О.А., Макаров Ю.А., Лисицкий А.В. </w:t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sz w:val="25"/>
          <w:szCs w:val="25"/>
        </w:rPr>
      </w:pPr>
      <w:r>
        <w:rPr>
          <w:sz w:val="25"/>
          <w:szCs w:val="25"/>
          <w:highlight w:val="white"/>
        </w:rPr>
        <w:tab/>
      </w:r>
      <w:r>
        <w:rPr>
          <w:sz w:val="25"/>
          <w:szCs w:val="25"/>
          <w:highlight w:val="white"/>
        </w:rPr>
        <w:t xml:space="preserve">Было </w:t>
      </w:r>
      <w:r>
        <w:rPr>
          <w:sz w:val="25"/>
          <w:szCs w:val="25"/>
          <w:highlight w:val="white"/>
        </w:rPr>
        <w:t xml:space="preserve">заслушано мотивировочное суждение ГБУ АО «БТИ», </w:t>
      </w:r>
      <w:r>
        <w:rPr>
          <w:sz w:val="25"/>
          <w:szCs w:val="25"/>
          <w:highlight w:val="white"/>
        </w:rPr>
        <w:t>представленное Кононенко С.В на</w:t>
      </w:r>
      <w:r>
        <w:rPr>
          <w:sz w:val="25"/>
          <w:szCs w:val="25"/>
        </w:rPr>
        <w:t xml:space="preserve"> отчет об оценке </w:t>
      </w:r>
      <w:r>
        <w:rPr>
          <w:sz w:val="26"/>
          <w:szCs w:val="25"/>
          <w:highlight w:val="white"/>
        </w:rPr>
        <w:t>от 07.10.2019 № 30-09-1-1 (далее – отчет об оценке)</w:t>
      </w:r>
      <w:r>
        <w:rPr>
          <w:sz w:val="25"/>
          <w:szCs w:val="25"/>
          <w:highlight w:val="white"/>
        </w:rPr>
        <w:t>.</w:t>
      </w:r>
      <w:r>
        <w:rPr>
          <w:sz w:val="25"/>
          <w:szCs w:val="25"/>
          <w:highlight w:val="white"/>
        </w:rPr>
        <w:t xml:space="preserve"> </w:t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sz w:val="25"/>
          <w:szCs w:val="25"/>
        </w:rPr>
      </w:pPr>
      <w:r>
        <w:rPr>
          <w:sz w:val="25"/>
          <w:szCs w:val="25"/>
        </w:rPr>
        <w:tab/>
        <w:t xml:space="preserve">Были даны письменные замечания (недостатки) члена комиссии Макарова Ю.А. </w:t>
      </w:r>
      <w:r>
        <w:rPr>
          <w:sz w:val="25"/>
          <w:szCs w:val="25"/>
        </w:rPr>
        <w:t>к отчету об оценке.</w:t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 xml:space="preserve">Заслушали пояснения к отчету об оценке представителя заявителя </w:t>
      </w:r>
      <w:r>
        <w:rPr>
          <w:sz w:val="24"/>
          <w:szCs w:val="24"/>
        </w:rPr>
        <w:t xml:space="preserve">Нестеренко Н.И. </w:t>
      </w:r>
      <w:r>
        <w:rPr>
          <w:sz w:val="25"/>
          <w:szCs w:val="25"/>
        </w:rPr>
        <w:t xml:space="preserve">и оценщика, осуществившего определение рыночной стоимости </w:t>
      </w:r>
      <w:r>
        <w:rPr>
          <w:sz w:val="24"/>
          <w:szCs w:val="24"/>
        </w:rPr>
        <w:t>Хаметов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 Р.Н.</w:t>
      </w:r>
    </w:p>
    <w:p>
      <w:pPr>
        <w:pStyle w:val="Style19"/>
        <w:tabs>
          <w:tab w:val="clear" w:pos="680"/>
          <w:tab w:val="left" w:pos="840" w:leader="none"/>
        </w:tabs>
        <w:spacing w:lineRule="atLeast" w:line="240"/>
        <w:jc w:val="both"/>
        <w:rPr>
          <w:sz w:val="26"/>
          <w:szCs w:val="25"/>
          <w:highlight w:val="white"/>
        </w:rPr>
      </w:pPr>
      <w:r>
        <w:rPr>
          <w:sz w:val="26"/>
          <w:szCs w:val="25"/>
          <w:highlight w:val="white"/>
        </w:rPr>
        <w:t>В ходе заседания выявлено следующее:</w:t>
      </w:r>
    </w:p>
    <w:p>
      <w:pPr>
        <w:pStyle w:val="Style19"/>
        <w:tabs>
          <w:tab w:val="clear" w:pos="680"/>
          <w:tab w:val="left" w:pos="840" w:leader="none"/>
        </w:tabs>
        <w:spacing w:lineRule="atLeast" w:line="240"/>
        <w:jc w:val="both"/>
        <w:rPr>
          <w:sz w:val="26"/>
          <w:szCs w:val="25"/>
          <w:highlight w:val="white"/>
        </w:rPr>
      </w:pPr>
      <w:r>
        <w:rPr>
          <w:sz w:val="26"/>
          <w:szCs w:val="25"/>
          <w:highlight w:val="white"/>
        </w:rPr>
        <w:tab/>
      </w:r>
      <w:r>
        <w:rPr>
          <w:sz w:val="26"/>
          <w:szCs w:val="25"/>
          <w:highlight w:val="white"/>
        </w:rPr>
        <w:t>1</w:t>
      </w:r>
      <w:r>
        <w:rPr>
          <w:sz w:val="26"/>
          <w:szCs w:val="25"/>
          <w:highlight w:val="white"/>
        </w:rPr>
        <w:t xml:space="preserve">. В отчете об оценке информация в </w:t>
      </w:r>
      <w:r>
        <w:rPr>
          <w:sz w:val="26"/>
          <w:szCs w:val="25"/>
          <w:highlight w:val="white"/>
        </w:rPr>
        <w:t>разделе 5.1 «Общая информация» на стр. 33 не подтверждена материалами отчета об оценке, отсутствует выписка из Единого государственного реестре недвижимости о кадастровой стоимости от 09.10.2018 № КУВИ-001/2019-21776337 (нарушение пункта 5 ФСО №3).</w:t>
      </w:r>
    </w:p>
    <w:p>
      <w:pPr>
        <w:pStyle w:val="Style19"/>
        <w:tabs>
          <w:tab w:val="clear" w:pos="680"/>
          <w:tab w:val="left" w:pos="840" w:leader="none"/>
        </w:tabs>
        <w:spacing w:lineRule="atLeast" w:line="240"/>
        <w:jc w:val="both"/>
        <w:rPr>
          <w:sz w:val="26"/>
          <w:szCs w:val="25"/>
          <w:highlight w:val="white"/>
        </w:rPr>
      </w:pPr>
      <w:r>
        <w:rPr>
          <w:sz w:val="26"/>
          <w:szCs w:val="25"/>
          <w:highlight w:val="white"/>
        </w:rPr>
        <w:tab/>
      </w:r>
      <w:r>
        <w:rPr>
          <w:sz w:val="26"/>
          <w:szCs w:val="25"/>
          <w:highlight w:val="white"/>
        </w:rPr>
        <w:t>2</w:t>
      </w:r>
      <w:r>
        <w:rPr>
          <w:sz w:val="26"/>
          <w:szCs w:val="25"/>
          <w:highlight w:val="white"/>
        </w:rPr>
        <w:t>. В разделе 6.1.3 «Характеристика объекта недвижимости» на стр.37 в таблице № 1 неккоректно прописано наименование оцениваемого объекта недвижимости (нарушение пункта 5 ФСО №3).</w:t>
      </w:r>
    </w:p>
    <w:p>
      <w:pPr>
        <w:pStyle w:val="Style19"/>
        <w:tabs>
          <w:tab w:val="clear" w:pos="680"/>
          <w:tab w:val="left" w:pos="840" w:leader="none"/>
        </w:tabs>
        <w:spacing w:lineRule="atLeast" w:line="240"/>
        <w:jc w:val="both"/>
        <w:rPr>
          <w:sz w:val="26"/>
          <w:szCs w:val="25"/>
          <w:highlight w:val="white"/>
        </w:rPr>
      </w:pPr>
      <w:r>
        <w:rPr>
          <w:sz w:val="26"/>
          <w:szCs w:val="25"/>
          <w:highlight w:val="white"/>
        </w:rPr>
        <w:tab/>
        <w:t xml:space="preserve">3. </w:t>
      </w:r>
      <w:r>
        <w:rPr>
          <w:sz w:val="26"/>
          <w:szCs w:val="25"/>
          <w:highlight w:val="white"/>
        </w:rPr>
        <w:t>В отчете об оценке на стр.</w:t>
      </w:r>
      <w:r>
        <w:rPr>
          <w:sz w:val="26"/>
          <w:szCs w:val="25"/>
          <w:highlight w:val="white"/>
        </w:rPr>
        <w:t>37</w:t>
      </w:r>
      <w:r>
        <w:rPr>
          <w:sz w:val="26"/>
          <w:szCs w:val="25"/>
          <w:highlight w:val="white"/>
        </w:rPr>
        <w:t xml:space="preserve"> в таблице № </w:t>
      </w:r>
      <w:r>
        <w:rPr>
          <w:sz w:val="26"/>
          <w:szCs w:val="25"/>
          <w:highlight w:val="white"/>
        </w:rPr>
        <w:t xml:space="preserve">1 </w:t>
      </w:r>
      <w:r>
        <w:rPr>
          <w:sz w:val="26"/>
          <w:szCs w:val="25"/>
          <w:highlight w:val="white"/>
        </w:rPr>
        <w:t xml:space="preserve">не указано конкретное фактическое использование оцениваемого </w:t>
      </w:r>
      <w:r>
        <w:rPr>
          <w:sz w:val="26"/>
          <w:szCs w:val="25"/>
          <w:highlight w:val="white"/>
        </w:rPr>
        <w:t>здания</w:t>
      </w:r>
      <w:r>
        <w:rPr>
          <w:sz w:val="26"/>
          <w:szCs w:val="25"/>
          <w:highlight w:val="white"/>
        </w:rPr>
        <w:t xml:space="preserve"> на дату оценки. </w:t>
      </w:r>
      <w:r>
        <w:rPr>
          <w:sz w:val="26"/>
          <w:szCs w:val="25"/>
          <w:highlight w:val="white"/>
        </w:rPr>
        <w:t>В подразделе  таблицы</w:t>
      </w:r>
      <w:r>
        <w:rPr>
          <w:sz w:val="26"/>
          <w:szCs w:val="25"/>
          <w:highlight w:val="white"/>
        </w:rPr>
        <w:t xml:space="preserve"> </w:t>
      </w:r>
      <w:r>
        <w:rPr>
          <w:sz w:val="26"/>
          <w:szCs w:val="25"/>
          <w:highlight w:val="white"/>
        </w:rPr>
        <w:t xml:space="preserve">№ 1 </w:t>
      </w:r>
      <w:r>
        <w:rPr>
          <w:sz w:val="26"/>
          <w:szCs w:val="25"/>
          <w:highlight w:val="white"/>
        </w:rPr>
        <w:t>«</w:t>
      </w:r>
      <w:r>
        <w:rPr>
          <w:sz w:val="26"/>
          <w:szCs w:val="25"/>
          <w:highlight w:val="white"/>
        </w:rPr>
        <w:t xml:space="preserve">экономические характеристики объекта оценки» </w:t>
      </w:r>
      <w:r>
        <w:rPr>
          <w:sz w:val="26"/>
          <w:szCs w:val="25"/>
          <w:highlight w:val="white"/>
        </w:rPr>
        <w:t xml:space="preserve">отсутствуют сведения об источниках приведенной информации </w:t>
      </w:r>
      <w:r>
        <w:rPr>
          <w:sz w:val="26"/>
          <w:szCs w:val="25"/>
          <w:highlight w:val="white"/>
        </w:rPr>
        <w:t>(сведения из ЕГРН онлайн</w:t>
      </w:r>
      <w:r>
        <w:rPr>
          <w:sz w:val="26"/>
          <w:szCs w:val="25"/>
          <w:highlight w:val="white"/>
        </w:rPr>
        <w:t>, что приводит к ее непроверяемости</w:t>
      </w:r>
      <w:r>
        <w:rPr>
          <w:sz w:val="26"/>
          <w:szCs w:val="25"/>
          <w:highlight w:val="white"/>
        </w:rPr>
        <w:t xml:space="preserve">). </w:t>
      </w:r>
      <w:r>
        <w:rPr>
          <w:sz w:val="26"/>
          <w:szCs w:val="25"/>
          <w:highlight w:val="white"/>
        </w:rPr>
        <w:t xml:space="preserve">Указанные факты приводят к неоднозначному толкованию информации и выводов оценщика (нарушение пункта 5 ФСО №3). </w:t>
      </w:r>
    </w:p>
    <w:p>
      <w:pPr>
        <w:pStyle w:val="Style19"/>
        <w:tabs>
          <w:tab w:val="clear" w:pos="680"/>
          <w:tab w:val="left" w:pos="840" w:leader="none"/>
        </w:tabs>
        <w:spacing w:lineRule="atLeast" w:line="240"/>
        <w:jc w:val="both"/>
        <w:rPr>
          <w:sz w:val="26"/>
          <w:szCs w:val="25"/>
          <w:highlight w:val="white"/>
        </w:rPr>
      </w:pPr>
      <w:r>
        <w:rPr>
          <w:sz w:val="26"/>
          <w:szCs w:val="25"/>
          <w:highlight w:val="white"/>
        </w:rPr>
        <w:tab/>
      </w:r>
      <w:r>
        <w:rPr>
          <w:sz w:val="26"/>
          <w:szCs w:val="25"/>
          <w:highlight w:val="white"/>
        </w:rPr>
        <w:t>4</w:t>
      </w:r>
      <w:r>
        <w:rPr>
          <w:sz w:val="26"/>
          <w:szCs w:val="25"/>
          <w:highlight w:val="white"/>
        </w:rPr>
        <w:t>. При описании характеристики конструктивных элементов на стр. 38 прописано что газоснабжение имеется, в экономических параметрах объекта оценки прописано, что газоснабжение не имеется (нарушение пункта 5 ФСО №3). Согласно техническому паспорту нежилого здания № 2905 по состоянию на 01.04.13 газоснабжение в здании не имеется.</w:t>
      </w:r>
    </w:p>
    <w:p>
      <w:pPr>
        <w:pStyle w:val="Style19"/>
        <w:tabs>
          <w:tab w:val="clear" w:pos="680"/>
          <w:tab w:val="left" w:pos="840" w:leader="none"/>
          <w:tab w:val="left" w:pos="855" w:leader="none"/>
        </w:tabs>
        <w:spacing w:lineRule="atLeast" w:line="240"/>
        <w:jc w:val="both"/>
        <w:rPr>
          <w:sz w:val="26"/>
          <w:szCs w:val="25"/>
          <w:highlight w:val="white"/>
        </w:rPr>
      </w:pPr>
      <w:r>
        <w:rPr>
          <w:rFonts w:ascii="Symbol" w:hAnsi="Symbol"/>
          <w:caps w:val="false"/>
          <w:smallCaps w:val="false"/>
          <w:sz w:val="28"/>
          <w:szCs w:val="25"/>
          <w:highlight w:val="white"/>
        </w:rPr>
        <w:t>      </w:t>
      </w:r>
      <w:r>
        <w:rPr>
          <w:caps w:val="false"/>
          <w:smallCaps w:val="false"/>
          <w:sz w:val="25"/>
          <w:szCs w:val="25"/>
          <w:highlight w:val="white"/>
        </w:rPr>
        <w:t xml:space="preserve">    </w:t>
      </w:r>
      <w:r>
        <w:rPr>
          <w:caps w:val="false"/>
          <w:smallCaps w:val="false"/>
          <w:sz w:val="25"/>
          <w:szCs w:val="25"/>
          <w:highlight w:val="white"/>
        </w:rPr>
        <w:t>5</w:t>
      </w:r>
      <w:r>
        <w:rPr>
          <w:caps w:val="false"/>
          <w:smallCaps w:val="false"/>
          <w:sz w:val="25"/>
          <w:szCs w:val="25"/>
          <w:highlight w:val="white"/>
        </w:rPr>
        <w:t xml:space="preserve">. </w:t>
      </w:r>
      <w:r>
        <w:rPr>
          <w:sz w:val="25"/>
          <w:szCs w:val="25"/>
          <w:highlight w:val="white"/>
        </w:rPr>
        <w:t>На стр. 39 приведен фрагмент карты Кировского района г. Астрахани в то время как объект оценки находится в с. Красный Я</w:t>
      </w:r>
      <w:r>
        <w:rPr>
          <w:sz w:val="25"/>
          <w:szCs w:val="25"/>
          <w:highlight w:val="white"/>
        </w:rPr>
        <w:t>р</w:t>
      </w:r>
      <w:r>
        <w:rPr>
          <w:sz w:val="25"/>
          <w:szCs w:val="25"/>
          <w:highlight w:val="white"/>
        </w:rPr>
        <w:t>. В то же время на стр. 59 приведен фрагмент карты и описание объекта недвижимости, расположенного в Советском районе  г. Астрахани.</w:t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sz w:val="25"/>
          <w:szCs w:val="25"/>
        </w:rPr>
      </w:pPr>
      <w:r>
        <w:rPr>
          <w:sz w:val="25"/>
          <w:szCs w:val="25"/>
        </w:rPr>
        <w:tab/>
        <w:t>6. В таблице № 2 на стр. 49 кадастровая стоимость и удельный показатель кадастровой стоимости земельного участка указаны неверно. Источники информации в данной таблице указаны без реквизитов</w:t>
      </w:r>
      <w:r>
        <w:rPr>
          <w:sz w:val="26"/>
          <w:szCs w:val="25"/>
          <w:highlight w:val="white"/>
        </w:rPr>
        <w:t xml:space="preserve"> (нарушение пункта 5 ФСО №3).</w:t>
      </w:r>
    </w:p>
    <w:p>
      <w:pPr>
        <w:pStyle w:val="Style19"/>
        <w:tabs>
          <w:tab w:val="clear" w:pos="680"/>
          <w:tab w:val="left" w:pos="840" w:leader="none"/>
        </w:tabs>
        <w:spacing w:lineRule="atLeast" w:line="240"/>
        <w:jc w:val="both"/>
        <w:rPr>
          <w:sz w:val="26"/>
          <w:szCs w:val="25"/>
        </w:rPr>
      </w:pPr>
      <w:r>
        <w:rPr>
          <w:sz w:val="26"/>
          <w:szCs w:val="25"/>
        </w:rPr>
        <w:tab/>
        <w:t>7. Р</w:t>
      </w:r>
      <w:r>
        <w:rPr>
          <w:sz w:val="26"/>
          <w:szCs w:val="25"/>
        </w:rPr>
        <w:t xml:space="preserve">аздел </w:t>
      </w:r>
      <w:r>
        <w:rPr>
          <w:sz w:val="26"/>
          <w:szCs w:val="25"/>
        </w:rPr>
        <w:t xml:space="preserve">6.3 </w:t>
      </w:r>
      <w:r>
        <w:rPr>
          <w:sz w:val="26"/>
          <w:szCs w:val="25"/>
        </w:rPr>
        <w:t>«</w:t>
      </w:r>
      <w:r>
        <w:rPr>
          <w:sz w:val="26"/>
          <w:szCs w:val="25"/>
        </w:rPr>
        <w:t>Н</w:t>
      </w:r>
      <w:r>
        <w:rPr>
          <w:sz w:val="26"/>
          <w:szCs w:val="25"/>
        </w:rPr>
        <w:t>аилучше</w:t>
      </w:r>
      <w:r>
        <w:rPr>
          <w:sz w:val="26"/>
          <w:szCs w:val="25"/>
        </w:rPr>
        <w:t>е</w:t>
      </w:r>
      <w:r>
        <w:rPr>
          <w:sz w:val="26"/>
          <w:szCs w:val="25"/>
        </w:rPr>
        <w:t xml:space="preserve"> и наиболее эффективно</w:t>
      </w:r>
      <w:r>
        <w:rPr>
          <w:sz w:val="26"/>
          <w:szCs w:val="25"/>
        </w:rPr>
        <w:t>е</w:t>
      </w:r>
      <w:r>
        <w:rPr>
          <w:sz w:val="26"/>
          <w:szCs w:val="25"/>
        </w:rPr>
        <w:t xml:space="preserve"> использовани</w:t>
      </w:r>
      <w:r>
        <w:rPr>
          <w:sz w:val="26"/>
          <w:szCs w:val="25"/>
        </w:rPr>
        <w:t>е</w:t>
      </w:r>
      <w:r>
        <w:rPr>
          <w:sz w:val="26"/>
          <w:szCs w:val="25"/>
        </w:rPr>
        <w:t>» (стр.</w:t>
      </w:r>
      <w:r>
        <w:rPr>
          <w:sz w:val="26"/>
          <w:szCs w:val="25"/>
        </w:rPr>
        <w:t>60</w:t>
      </w:r>
      <w:r>
        <w:rPr>
          <w:sz w:val="26"/>
          <w:szCs w:val="25"/>
        </w:rPr>
        <w:t xml:space="preserve">) выполнен не в соответствии с требованиями главы </w:t>
      </w:r>
      <w:r>
        <w:rPr>
          <w:sz w:val="26"/>
          <w:szCs w:val="25"/>
          <w:lang w:val="en-US"/>
        </w:rPr>
        <w:t>VI</w:t>
      </w:r>
      <w:r>
        <w:rPr>
          <w:sz w:val="25"/>
          <w:szCs w:val="25"/>
        </w:rPr>
        <w:t xml:space="preserve"> </w:t>
      </w:r>
      <w:r>
        <w:rPr>
          <w:sz w:val="26"/>
          <w:szCs w:val="25"/>
        </w:rPr>
        <w:t xml:space="preserve">ФСО №7. Содержит выводы о </w:t>
      </w:r>
      <w:r>
        <w:rPr>
          <w:sz w:val="26"/>
          <w:szCs w:val="25"/>
        </w:rPr>
        <w:t>рекомендуемом использовании объекта с его прямым назначением - нежилое помещение, в то время как оцениваемый объект недвижимости - административное здание (нарушение пункта 5 ФСО №3).</w:t>
      </w:r>
    </w:p>
    <w:p>
      <w:pPr>
        <w:pStyle w:val="Style19"/>
        <w:tabs>
          <w:tab w:val="clear" w:pos="680"/>
          <w:tab w:val="left" w:pos="840" w:leader="none"/>
        </w:tabs>
        <w:spacing w:lineRule="atLeast" w:line="240"/>
        <w:jc w:val="both"/>
        <w:rPr>
          <w:sz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>8</w:t>
      </w:r>
      <w:r>
        <w:rPr>
          <w:sz w:val="25"/>
          <w:szCs w:val="25"/>
        </w:rPr>
        <w:t>. В разделе 7.2.1 «Определение сегмента рынка, к которому принадлежит помещение» на стр.95-96 неккоректно прописано наименование оцениваемого объекта недвижимости, что</w:t>
      </w:r>
      <w:r>
        <w:rPr>
          <w:sz w:val="26"/>
        </w:rPr>
        <w:t xml:space="preserve"> привод</w:t>
      </w:r>
      <w:r>
        <w:rPr>
          <w:sz w:val="26"/>
        </w:rPr>
        <w:t>и</w:t>
      </w:r>
      <w:r>
        <w:rPr>
          <w:sz w:val="26"/>
        </w:rPr>
        <w:t>т к неоднозначному толкованию выводов в раздел</w:t>
      </w:r>
      <w:r>
        <w:rPr>
          <w:sz w:val="26"/>
        </w:rPr>
        <w:t>ах</w:t>
      </w:r>
      <w:r>
        <w:rPr>
          <w:sz w:val="26"/>
        </w:rPr>
        <w:t xml:space="preserve"> «Определение сегмента рынка, к которому принадлежит оцениваемый объект» (стр. </w:t>
      </w:r>
      <w:r>
        <w:rPr>
          <w:sz w:val="26"/>
        </w:rPr>
        <w:t>96</w:t>
      </w:r>
      <w:r>
        <w:rPr>
          <w:sz w:val="26"/>
        </w:rPr>
        <w:t>) и «Наиболее эффективно</w:t>
      </w:r>
      <w:r>
        <w:rPr>
          <w:sz w:val="26"/>
        </w:rPr>
        <w:t>е</w:t>
      </w:r>
      <w:r>
        <w:rPr>
          <w:sz w:val="26"/>
        </w:rPr>
        <w:t xml:space="preserve"> использовани</w:t>
      </w:r>
      <w:r>
        <w:rPr>
          <w:sz w:val="26"/>
        </w:rPr>
        <w:t>е</w:t>
      </w:r>
      <w:r>
        <w:rPr>
          <w:sz w:val="26"/>
        </w:rPr>
        <w:t xml:space="preserve">» (стр. </w:t>
      </w:r>
      <w:r>
        <w:rPr>
          <w:sz w:val="26"/>
        </w:rPr>
        <w:t>60-61</w:t>
      </w:r>
      <w:r>
        <w:rPr>
          <w:sz w:val="26"/>
        </w:rPr>
        <w:t>), а также – выбора объектов-аналогов (нарушение пункта 5 ФСО №3).</w:t>
      </w:r>
    </w:p>
    <w:p>
      <w:pPr>
        <w:pStyle w:val="Style19"/>
        <w:tabs>
          <w:tab w:val="clear" w:pos="680"/>
          <w:tab w:val="left" w:pos="840" w:leader="none"/>
        </w:tabs>
        <w:spacing w:lineRule="atLeast" w:line="240"/>
        <w:jc w:val="both"/>
        <w:rPr/>
      </w:pPr>
      <w:r>
        <w:rPr/>
        <w:tab/>
      </w:r>
      <w:r>
        <w:rPr/>
        <w:t>9</w:t>
      </w:r>
      <w:r>
        <w:rPr>
          <w:sz w:val="26"/>
          <w:szCs w:val="26"/>
        </w:rPr>
        <w:t xml:space="preserve">. В разделе 7.2.2 «Определение сегмента рынка, к которому принадлежит оцениваемый земельный участок на стр. 96 неккоректно прописан вид разрешенного использования земельного участка, </w:t>
      </w:r>
      <w:r>
        <w:rPr>
          <w:sz w:val="25"/>
          <w:szCs w:val="25"/>
        </w:rPr>
        <w:t>что</w:t>
      </w:r>
      <w:r>
        <w:rPr>
          <w:sz w:val="26"/>
          <w:szCs w:val="26"/>
        </w:rPr>
        <w:t xml:space="preserve"> привод</w:t>
      </w:r>
      <w:r>
        <w:rPr>
          <w:sz w:val="26"/>
          <w:szCs w:val="26"/>
        </w:rPr>
        <w:t>и</w:t>
      </w:r>
      <w:r>
        <w:rPr>
          <w:sz w:val="26"/>
          <w:szCs w:val="26"/>
        </w:rPr>
        <w:t>т к неоднозначному толкованию выводов в раздел</w:t>
      </w:r>
      <w:r>
        <w:rPr>
          <w:sz w:val="26"/>
          <w:szCs w:val="26"/>
        </w:rPr>
        <w:t>ах</w:t>
      </w:r>
      <w:r>
        <w:rPr>
          <w:sz w:val="26"/>
          <w:szCs w:val="26"/>
        </w:rPr>
        <w:t xml:space="preserve"> «Определение сегмента рынка, к которому принадлежит земельный участок (стр. </w:t>
      </w:r>
      <w:r>
        <w:rPr>
          <w:sz w:val="26"/>
          <w:szCs w:val="26"/>
        </w:rPr>
        <w:t>9</w:t>
      </w:r>
      <w:r>
        <w:rPr>
          <w:sz w:val="26"/>
          <w:szCs w:val="26"/>
        </w:rPr>
        <w:t xml:space="preserve">8-99), </w:t>
      </w:r>
      <w:r>
        <w:rPr>
          <w:sz w:val="26"/>
          <w:szCs w:val="26"/>
          <w:highlight w:val="white"/>
        </w:rPr>
        <w:t xml:space="preserve">а также – выбора объектов-аналогов </w:t>
      </w:r>
      <w:r>
        <w:rPr>
          <w:sz w:val="26"/>
          <w:szCs w:val="26"/>
        </w:rPr>
        <w:t>(нарушение пункта 5 ФСО №3).</w:t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/>
      </w:pPr>
      <w:r>
        <w:rPr>
          <w:sz w:val="25"/>
          <w:szCs w:val="25"/>
        </w:rPr>
        <w:tab/>
      </w:r>
      <w:r>
        <w:rPr>
          <w:sz w:val="26"/>
          <w:szCs w:val="26"/>
        </w:rPr>
        <w:t>1</w:t>
      </w:r>
      <w:r>
        <w:rPr>
          <w:sz w:val="26"/>
          <w:szCs w:val="26"/>
        </w:rPr>
        <w:t>0</w:t>
      </w:r>
      <w:r>
        <w:rPr>
          <w:sz w:val="26"/>
          <w:szCs w:val="26"/>
        </w:rPr>
        <w:t xml:space="preserve">. </w:t>
      </w:r>
      <w:r>
        <w:rPr>
          <w:sz w:val="26"/>
          <w:szCs w:val="25"/>
        </w:rPr>
        <w:t xml:space="preserve">Согласно отчету об оценке дата определения рыночной стоимости земельного участка </w:t>
      </w:r>
      <w:r>
        <w:rPr>
          <w:sz w:val="26"/>
          <w:szCs w:val="25"/>
        </w:rPr>
        <w:t>-</w:t>
      </w:r>
      <w:r>
        <w:rPr>
          <w:sz w:val="26"/>
          <w:szCs w:val="25"/>
        </w:rPr>
        <w:t xml:space="preserve"> </w:t>
      </w:r>
      <w:r>
        <w:rPr>
          <w:sz w:val="26"/>
          <w:szCs w:val="25"/>
        </w:rPr>
        <w:t xml:space="preserve">01.01.2019. </w:t>
      </w:r>
      <w:r>
        <w:rPr>
          <w:sz w:val="26"/>
          <w:szCs w:val="26"/>
        </w:rPr>
        <w:t xml:space="preserve">В таблице 38 «Примеры цен предложений к продаже объектов нежилой недвижимости, расположенных в Астраханской области» </w:t>
      </w:r>
      <w:r>
        <w:rPr>
          <w:rFonts w:ascii="Times New Roman;serif" w:hAnsi="Times New Roman;serif"/>
          <w:sz w:val="26"/>
          <w:szCs w:val="26"/>
        </w:rPr>
        <w:t xml:space="preserve">с.104-112 </w:t>
      </w:r>
      <w:r>
        <w:rPr>
          <w:rFonts w:ascii="Times New Roman;serif" w:hAnsi="Times New Roman;serif"/>
          <w:sz w:val="26"/>
          <w:szCs w:val="26"/>
        </w:rPr>
        <w:t>в</w:t>
      </w:r>
      <w:r>
        <w:rPr>
          <w:rFonts w:ascii="Times New Roman;serif" w:hAnsi="Times New Roman;serif"/>
          <w:sz w:val="26"/>
          <w:szCs w:val="26"/>
        </w:rPr>
        <w:t>се предложения о продаже позже даты оценки.</w:t>
      </w:r>
      <w:r>
        <w:rPr>
          <w:sz w:val="26"/>
          <w:szCs w:val="25"/>
        </w:rPr>
        <w:t xml:space="preserve"> В нарушение пункта 8 ФСО №1 </w:t>
      </w:r>
      <w:r>
        <w:rPr>
          <w:sz w:val="26"/>
          <w:szCs w:val="25"/>
          <w:highlight w:val="white"/>
        </w:rPr>
        <w:t>информация о данн</w:t>
      </w:r>
      <w:r>
        <w:rPr>
          <w:sz w:val="26"/>
          <w:szCs w:val="25"/>
          <w:highlight w:val="white"/>
        </w:rPr>
        <w:t>ых</w:t>
      </w:r>
      <w:r>
        <w:rPr>
          <w:sz w:val="26"/>
          <w:szCs w:val="25"/>
          <w:highlight w:val="white"/>
        </w:rPr>
        <w:t xml:space="preserve"> объект</w:t>
      </w:r>
      <w:r>
        <w:rPr>
          <w:sz w:val="26"/>
          <w:szCs w:val="25"/>
          <w:highlight w:val="white"/>
        </w:rPr>
        <w:t>ах</w:t>
      </w:r>
      <w:r>
        <w:rPr>
          <w:sz w:val="26"/>
          <w:szCs w:val="25"/>
          <w:highlight w:val="white"/>
        </w:rPr>
        <w:t>-аналог</w:t>
      </w:r>
      <w:r>
        <w:rPr>
          <w:sz w:val="26"/>
          <w:szCs w:val="25"/>
          <w:highlight w:val="white"/>
        </w:rPr>
        <w:t>ах</w:t>
      </w:r>
      <w:r>
        <w:rPr>
          <w:sz w:val="26"/>
          <w:szCs w:val="25"/>
          <w:highlight w:val="white"/>
        </w:rPr>
        <w:t xml:space="preserve"> не может быть использована в расчетах и приводит к неоднозначному толкованию итоговой величины рыночной стоимости (нарушение пункта 5 ФСО №3). </w:t>
      </w:r>
      <w:r>
        <w:rPr>
          <w:sz w:val="26"/>
          <w:szCs w:val="25"/>
          <w:highlight w:val="white"/>
        </w:rPr>
        <w:t>Кроме того, приведены примеры цен предложений объектов различного назначения.</w:t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sz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>1</w:t>
      </w:r>
      <w:r>
        <w:rPr>
          <w:sz w:val="25"/>
          <w:szCs w:val="25"/>
        </w:rPr>
        <w:t>1</w:t>
      </w:r>
      <w:r>
        <w:rPr>
          <w:sz w:val="25"/>
          <w:szCs w:val="25"/>
        </w:rPr>
        <w:t xml:space="preserve">. </w:t>
      </w:r>
      <w:r>
        <w:rPr>
          <w:sz w:val="26"/>
        </w:rPr>
        <w:t>Диапазон цен предложений, указанный на стр.</w:t>
      </w:r>
      <w:r>
        <w:rPr>
          <w:sz w:val="26"/>
        </w:rPr>
        <w:t>112</w:t>
      </w:r>
      <w:r>
        <w:rPr>
          <w:sz w:val="26"/>
        </w:rPr>
        <w:t xml:space="preserve">, не соответствует информации в таблице № </w:t>
      </w:r>
      <w:r>
        <w:rPr>
          <w:sz w:val="26"/>
        </w:rPr>
        <w:t>38</w:t>
      </w:r>
      <w:r>
        <w:rPr>
          <w:sz w:val="26"/>
        </w:rPr>
        <w:t xml:space="preserve"> (стр.</w:t>
      </w:r>
      <w:r>
        <w:rPr>
          <w:sz w:val="26"/>
        </w:rPr>
        <w:t>104</w:t>
      </w:r>
      <w:r>
        <w:rPr>
          <w:sz w:val="26"/>
        </w:rPr>
        <w:t>-</w:t>
      </w:r>
      <w:r>
        <w:rPr>
          <w:sz w:val="26"/>
        </w:rPr>
        <w:t>112</w:t>
      </w:r>
      <w:r>
        <w:rPr>
          <w:sz w:val="26"/>
        </w:rPr>
        <w:t>) (нарушение пункта 5 ФСО №3).</w:t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  <w:highlight w:val="white"/>
        </w:rPr>
        <w:t>1</w:t>
      </w:r>
      <w:r>
        <w:rPr>
          <w:sz w:val="25"/>
          <w:szCs w:val="25"/>
          <w:highlight w:val="white"/>
        </w:rPr>
        <w:t>2</w:t>
      </w:r>
      <w:r>
        <w:rPr>
          <w:sz w:val="25"/>
          <w:szCs w:val="25"/>
          <w:highlight w:val="white"/>
        </w:rPr>
        <w:t>. В таблице 45 «Примеры цен предложений к продаже земельных участков коммерческого или другого назначения, расположенных в Астраханской области»               с. 128-136 все предложения о продаже земельных участков с разрешенным использованием «ИЖС».</w:t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/>
      </w:pPr>
      <w:r>
        <w:rPr>
          <w:sz w:val="25"/>
          <w:szCs w:val="25"/>
          <w:highlight w:val="white"/>
        </w:rPr>
        <w:tab/>
        <w:t>1</w:t>
      </w:r>
      <w:r>
        <w:rPr>
          <w:sz w:val="25"/>
          <w:szCs w:val="25"/>
          <w:highlight w:val="white"/>
        </w:rPr>
        <w:t>3</w:t>
      </w:r>
      <w:r>
        <w:rPr>
          <w:sz w:val="25"/>
          <w:szCs w:val="25"/>
          <w:highlight w:val="white"/>
        </w:rPr>
        <w:t xml:space="preserve">. </w:t>
      </w:r>
      <w:r>
        <w:rPr>
          <w:sz w:val="26"/>
          <w:szCs w:val="26"/>
          <w:highlight w:val="white"/>
        </w:rPr>
        <w:t xml:space="preserve">В разделе 8.1 «Оценка затратным подходом» с. 140-141 приведена описательная часть затратного подхода, расчет рыночной стоимости </w:t>
      </w:r>
      <w:r>
        <w:rPr>
          <w:sz w:val="26"/>
          <w:szCs w:val="26"/>
          <w:highlight w:val="white"/>
        </w:rPr>
        <w:t xml:space="preserve">земельного участка </w:t>
      </w:r>
      <w:r>
        <w:rPr>
          <w:sz w:val="26"/>
          <w:szCs w:val="26"/>
          <w:highlight w:val="white"/>
        </w:rPr>
        <w:t>затратным подходом отсутствует.</w:t>
      </w:r>
      <w:r>
        <w:rPr>
          <w:rFonts w:ascii="Times New Roman;serif" w:hAnsi="Times New Roman;serif"/>
          <w:sz w:val="26"/>
          <w:szCs w:val="26"/>
          <w:highlight w:val="white"/>
        </w:rPr>
        <w:t xml:space="preserve"> </w:t>
      </w:r>
      <w:r>
        <w:rPr>
          <w:rFonts w:ascii="Times New Roman;serif" w:hAnsi="Times New Roman;serif"/>
          <w:sz w:val="26"/>
          <w:szCs w:val="26"/>
          <w:highlight w:val="white"/>
        </w:rPr>
        <w:t>В</w:t>
      </w:r>
      <w:r>
        <w:rPr>
          <w:rFonts w:ascii="Times New Roman;serif" w:hAnsi="Times New Roman;serif"/>
          <w:sz w:val="26"/>
          <w:szCs w:val="26"/>
          <w:highlight w:val="white"/>
        </w:rPr>
        <w:t xml:space="preserve"> отчете об оценке отсутствует обоснование отказа от применения </w:t>
      </w:r>
      <w:r>
        <w:rPr>
          <w:rFonts w:ascii="Times New Roman;serif" w:hAnsi="Times New Roman;serif"/>
          <w:sz w:val="26"/>
          <w:szCs w:val="26"/>
          <w:highlight w:val="white"/>
        </w:rPr>
        <w:t>затратного</w:t>
      </w:r>
      <w:r>
        <w:rPr>
          <w:rFonts w:ascii="Times New Roman;serif" w:hAnsi="Times New Roman;serif"/>
          <w:sz w:val="26"/>
          <w:szCs w:val="26"/>
          <w:highlight w:val="white"/>
        </w:rPr>
        <w:t xml:space="preserve"> подхода (нарушение пункта 5 ФСО №3).</w:t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/>
      </w:pPr>
      <w:r>
        <w:rPr>
          <w:rFonts w:ascii="Times New Roman;serif" w:hAnsi="Times New Roman;serif"/>
          <w:sz w:val="26"/>
          <w:szCs w:val="26"/>
          <w:highlight w:val="white"/>
        </w:rPr>
        <w:tab/>
        <w:t>1</w:t>
      </w:r>
      <w:r>
        <w:rPr>
          <w:rFonts w:ascii="Times New Roman;serif" w:hAnsi="Times New Roman;serif"/>
          <w:sz w:val="26"/>
          <w:szCs w:val="26"/>
          <w:highlight w:val="white"/>
        </w:rPr>
        <w:t>4</w:t>
      </w:r>
      <w:r>
        <w:rPr>
          <w:rFonts w:ascii="Times New Roman;serif" w:hAnsi="Times New Roman;serif"/>
          <w:sz w:val="26"/>
          <w:szCs w:val="26"/>
          <w:highlight w:val="white"/>
        </w:rPr>
        <w:t xml:space="preserve">. На с.140 </w:t>
      </w:r>
      <w:r>
        <w:rPr>
          <w:rFonts w:ascii="Times New Roman;serif" w:hAnsi="Times New Roman;serif"/>
          <w:sz w:val="26"/>
          <w:szCs w:val="26"/>
          <w:highlight w:val="white"/>
        </w:rPr>
        <w:t>о</w:t>
      </w:r>
      <w:r>
        <w:rPr>
          <w:rFonts w:ascii="Times New Roman;serif" w:hAnsi="Times New Roman;serif"/>
          <w:sz w:val="26"/>
          <w:szCs w:val="26"/>
          <w:highlight w:val="white"/>
        </w:rPr>
        <w:t xml:space="preserve">тчета </w:t>
      </w:r>
      <w:r>
        <w:rPr>
          <w:rFonts w:ascii="Times New Roman;serif" w:hAnsi="Times New Roman;serif"/>
          <w:sz w:val="26"/>
          <w:szCs w:val="26"/>
          <w:highlight w:val="white"/>
        </w:rPr>
        <w:t xml:space="preserve">разрешенное использование земельного участка прописано не в соответствии с договором аренды от 22.12.2008 № 21 </w:t>
      </w:r>
      <w:r>
        <w:rPr>
          <w:rFonts w:ascii="Times New Roman;serif" w:hAnsi="Times New Roman;serif"/>
          <w:sz w:val="26"/>
          <w:szCs w:val="26"/>
          <w:highlight w:val="white"/>
        </w:rPr>
        <w:t>(нарушение пункта 5 ФСО №3).</w:t>
      </w:r>
    </w:p>
    <w:p>
      <w:pPr>
        <w:pStyle w:val="Style19"/>
        <w:tabs>
          <w:tab w:val="clear" w:pos="680"/>
          <w:tab w:val="left" w:pos="795" w:leader="none"/>
          <w:tab w:val="left" w:pos="840" w:leader="none"/>
        </w:tabs>
        <w:spacing w:lineRule="atLeast" w:line="240"/>
        <w:jc w:val="both"/>
        <w:rPr/>
      </w:pPr>
      <w:r>
        <w:rPr>
          <w:rFonts w:ascii="Symbol" w:hAnsi="Symbol"/>
          <w:caps w:val="false"/>
          <w:smallCaps w:val="false"/>
          <w:sz w:val="28"/>
          <w:szCs w:val="26"/>
          <w:highlight w:val="white"/>
        </w:rPr>
        <w:t xml:space="preserve">         </w:t>
      </w:r>
      <w:r>
        <w:rPr>
          <w:caps w:val="false"/>
          <w:smallCaps w:val="false"/>
          <w:sz w:val="25"/>
          <w:szCs w:val="25"/>
          <w:highlight w:val="white"/>
        </w:rPr>
        <w:t>1</w:t>
      </w:r>
      <w:r>
        <w:rPr>
          <w:caps w:val="false"/>
          <w:smallCaps w:val="false"/>
          <w:sz w:val="25"/>
          <w:szCs w:val="25"/>
          <w:highlight w:val="white"/>
        </w:rPr>
        <w:t>5</w:t>
      </w:r>
      <w:r>
        <w:rPr>
          <w:caps w:val="false"/>
          <w:smallCaps w:val="false"/>
          <w:sz w:val="25"/>
          <w:szCs w:val="25"/>
          <w:highlight w:val="white"/>
        </w:rPr>
        <w:t>. В таблице 47 н</w:t>
      </w:r>
      <w:r>
        <w:rPr>
          <w:sz w:val="25"/>
          <w:szCs w:val="25"/>
          <w:highlight w:val="white"/>
        </w:rPr>
        <w:t>а стр. 142  (п.8 и п.9 таблицы) указано, что «Все объекты аналоги, как и объект оценки расположены в населенном пункте – г. Астрахань».</w:t>
      </w:r>
    </w:p>
    <w:p>
      <w:pPr>
        <w:pStyle w:val="Style20"/>
        <w:tabs>
          <w:tab w:val="clear" w:pos="680"/>
          <w:tab w:val="left" w:pos="855" w:leader="none"/>
        </w:tabs>
        <w:spacing w:lineRule="atLeast" w:line="240"/>
        <w:jc w:val="both"/>
        <w:rPr/>
      </w:pPr>
      <w:r>
        <w:rPr>
          <w:sz w:val="25"/>
          <w:szCs w:val="25"/>
          <w:highlight w:val="white"/>
        </w:rPr>
        <w:tab/>
        <w:t>1</w:t>
      </w:r>
      <w:r>
        <w:rPr>
          <w:sz w:val="25"/>
          <w:szCs w:val="25"/>
          <w:highlight w:val="white"/>
        </w:rPr>
        <w:t>6</w:t>
      </w:r>
      <w:r>
        <w:rPr>
          <w:sz w:val="25"/>
          <w:szCs w:val="25"/>
          <w:highlight w:val="white"/>
        </w:rPr>
        <w:t xml:space="preserve">. </w:t>
      </w:r>
      <w:r>
        <w:rPr>
          <w:sz w:val="26"/>
          <w:szCs w:val="26"/>
          <w:highlight w:val="white"/>
        </w:rPr>
        <w:t xml:space="preserve">Выбранные земельные участки </w:t>
      </w:r>
      <w:r>
        <w:rPr>
          <w:sz w:val="26"/>
          <w:szCs w:val="26"/>
          <w:highlight w:val="white"/>
        </w:rPr>
        <w:t xml:space="preserve">для расчета рыночной стоимости сравнительным подходом </w:t>
      </w:r>
      <w:r>
        <w:rPr>
          <w:sz w:val="26"/>
          <w:szCs w:val="26"/>
          <w:highlight w:val="white"/>
        </w:rPr>
        <w:t>в качестве объектов аналогов</w:t>
      </w:r>
      <w:r>
        <w:rPr>
          <w:sz w:val="26"/>
          <w:szCs w:val="26"/>
          <w:highlight w:val="white"/>
        </w:rPr>
        <w:t xml:space="preserve"> на </w:t>
      </w:r>
      <w:r>
        <w:rPr>
          <w:sz w:val="26"/>
          <w:szCs w:val="26"/>
          <w:highlight w:val="white"/>
        </w:rPr>
        <w:t>с.146</w:t>
      </w:r>
      <w:r>
        <w:rPr>
          <w:rFonts w:ascii="Times New Roman;serif" w:hAnsi="Times New Roman;serif"/>
          <w:sz w:val="26"/>
          <w:szCs w:val="26"/>
          <w:highlight w:val="white"/>
        </w:rPr>
        <w:t xml:space="preserve"> отсутствуют в предложениях о продаже </w:t>
      </w:r>
      <w:r>
        <w:rPr>
          <w:rFonts w:ascii="Times New Roman;serif" w:hAnsi="Times New Roman;serif"/>
          <w:sz w:val="26"/>
          <w:szCs w:val="26"/>
          <w:highlight w:val="white"/>
        </w:rPr>
        <w:t xml:space="preserve">на </w:t>
      </w:r>
      <w:r>
        <w:rPr>
          <w:rFonts w:ascii="Times New Roman;serif" w:hAnsi="Times New Roman;serif"/>
          <w:sz w:val="26"/>
          <w:szCs w:val="26"/>
          <w:highlight w:val="white"/>
        </w:rPr>
        <w:t>с.132</w:t>
      </w:r>
      <w:r>
        <w:rPr>
          <w:sz w:val="26"/>
          <w:szCs w:val="26"/>
          <w:highlight w:val="white"/>
        </w:rPr>
        <w:t xml:space="preserve"> </w:t>
      </w:r>
      <w:r>
        <w:rPr>
          <w:sz w:val="26"/>
          <w:szCs w:val="26"/>
          <w:highlight w:val="white"/>
        </w:rPr>
        <w:t>(нарушение пункта 5 ФСО №3).</w:t>
      </w:r>
    </w:p>
    <w:p>
      <w:pPr>
        <w:pStyle w:val="Style19"/>
        <w:tabs>
          <w:tab w:val="clear" w:pos="680"/>
          <w:tab w:val="left" w:pos="855" w:leader="none"/>
        </w:tabs>
        <w:spacing w:lineRule="atLeast" w:line="240"/>
        <w:jc w:val="both"/>
        <w:rPr/>
      </w:pPr>
      <w:r>
        <w:rPr>
          <w:sz w:val="28"/>
          <w:szCs w:val="25"/>
          <w:highlight w:val="white"/>
        </w:rPr>
        <w:tab/>
        <w:t>1</w:t>
      </w:r>
      <w:r>
        <w:rPr>
          <w:sz w:val="28"/>
          <w:szCs w:val="25"/>
          <w:highlight w:val="white"/>
        </w:rPr>
        <w:t>7</w:t>
      </w:r>
      <w:r>
        <w:rPr>
          <w:sz w:val="28"/>
          <w:szCs w:val="25"/>
          <w:highlight w:val="white"/>
        </w:rPr>
        <w:t xml:space="preserve">. </w:t>
      </w:r>
      <w:r>
        <w:rPr>
          <w:sz w:val="28"/>
          <w:szCs w:val="25"/>
          <w:highlight w:val="white"/>
        </w:rPr>
        <w:t>Н</w:t>
      </w:r>
      <w:r>
        <w:rPr>
          <w:sz w:val="25"/>
          <w:szCs w:val="25"/>
          <w:highlight w:val="white"/>
        </w:rPr>
        <w:t xml:space="preserve">а страницах 155 и 160 отчета </w:t>
      </w:r>
      <w:r>
        <w:rPr>
          <w:caps w:val="false"/>
          <w:smallCaps w:val="false"/>
          <w:sz w:val="25"/>
          <w:szCs w:val="25"/>
          <w:highlight w:val="white"/>
        </w:rPr>
        <w:t>про</w:t>
      </w:r>
      <w:r>
        <w:rPr>
          <w:sz w:val="25"/>
          <w:szCs w:val="25"/>
          <w:highlight w:val="white"/>
        </w:rPr>
        <w:t>дублирован</w:t>
      </w:r>
      <w:r>
        <w:rPr>
          <w:sz w:val="25"/>
          <w:szCs w:val="25"/>
          <w:highlight w:val="white"/>
        </w:rPr>
        <w:t>ы</w:t>
      </w:r>
      <w:r>
        <w:rPr>
          <w:sz w:val="25"/>
          <w:szCs w:val="25"/>
          <w:highlight w:val="white"/>
        </w:rPr>
        <w:t xml:space="preserve"> формулы расчета ПВС, </w:t>
      </w:r>
      <w:r>
        <w:rPr>
          <w:caps w:val="false"/>
          <w:smallCaps w:val="false"/>
          <w:sz w:val="25"/>
          <w:szCs w:val="25"/>
          <w:highlight w:val="white"/>
        </w:rPr>
        <w:t>на страницах 167 и 168 отчета</w:t>
      </w:r>
      <w:r>
        <w:rPr>
          <w:sz w:val="25"/>
          <w:szCs w:val="25"/>
          <w:highlight w:val="white"/>
        </w:rPr>
        <w:t xml:space="preserve"> </w:t>
      </w:r>
      <w:r>
        <w:rPr>
          <w:caps w:val="false"/>
          <w:smallCaps w:val="false"/>
          <w:sz w:val="25"/>
          <w:szCs w:val="25"/>
          <w:highlight w:val="white"/>
        </w:rPr>
        <w:t>про</w:t>
      </w:r>
      <w:r>
        <w:rPr>
          <w:sz w:val="25"/>
          <w:szCs w:val="25"/>
          <w:highlight w:val="white"/>
        </w:rPr>
        <w:t>дублирован</w:t>
      </w:r>
      <w:r>
        <w:rPr>
          <w:sz w:val="25"/>
          <w:szCs w:val="25"/>
          <w:highlight w:val="white"/>
        </w:rPr>
        <w:t>ы</w:t>
      </w:r>
      <w:r>
        <w:rPr>
          <w:sz w:val="25"/>
          <w:szCs w:val="25"/>
          <w:highlight w:val="white"/>
        </w:rPr>
        <w:t xml:space="preserve"> формулы остаточной стоимости</w:t>
      </w:r>
      <w:r>
        <w:rPr>
          <w:sz w:val="25"/>
          <w:szCs w:val="25"/>
          <w:highlight w:val="white"/>
        </w:rPr>
        <w:t xml:space="preserve"> </w:t>
      </w:r>
      <w:r>
        <w:rPr>
          <w:rFonts w:ascii="Times New Roman;serif" w:hAnsi="Times New Roman;serif"/>
          <w:sz w:val="26"/>
          <w:szCs w:val="26"/>
          <w:highlight w:val="white"/>
        </w:rPr>
        <w:t>(нарушение пункта 5 ФСО №3).</w:t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/>
      </w:pPr>
      <w:r>
        <w:rPr>
          <w:sz w:val="26"/>
          <w:szCs w:val="26"/>
          <w:highlight w:val="white"/>
        </w:rPr>
        <w:tab/>
      </w:r>
      <w:r>
        <w:rPr>
          <w:sz w:val="25"/>
          <w:szCs w:val="25"/>
          <w:highlight w:val="white"/>
        </w:rPr>
        <w:t>1</w:t>
      </w:r>
      <w:r>
        <w:rPr>
          <w:sz w:val="25"/>
          <w:szCs w:val="25"/>
          <w:highlight w:val="white"/>
        </w:rPr>
        <w:t>8</w:t>
      </w:r>
      <w:r>
        <w:rPr>
          <w:sz w:val="25"/>
          <w:szCs w:val="25"/>
          <w:highlight w:val="white"/>
        </w:rPr>
        <w:t xml:space="preserve">. </w:t>
      </w:r>
      <w:r>
        <w:rPr>
          <w:sz w:val="26"/>
          <w:szCs w:val="26"/>
          <w:highlight w:val="white"/>
        </w:rPr>
        <w:t>На стр. 151</w:t>
      </w:r>
      <w:r>
        <w:rPr>
          <w:sz w:val="25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>отсутствует формула произведенных расчетов по индексам цен, указана только величина корректировки на дату предложения.</w:t>
      </w:r>
    </w:p>
    <w:p>
      <w:pPr>
        <w:pStyle w:val="Style19"/>
        <w:tabs>
          <w:tab w:val="clear" w:pos="680"/>
          <w:tab w:val="left" w:pos="840" w:leader="none"/>
        </w:tabs>
        <w:spacing w:lineRule="atLeast" w:line="240"/>
        <w:jc w:val="both"/>
        <w:rPr>
          <w:sz w:val="28"/>
        </w:rPr>
      </w:pPr>
      <w:r>
        <w:rPr>
          <w:sz w:val="25"/>
          <w:szCs w:val="25"/>
          <w:highlight w:val="white"/>
        </w:rPr>
        <w:tab/>
      </w:r>
      <w:r>
        <w:rPr>
          <w:sz w:val="25"/>
          <w:szCs w:val="25"/>
          <w:highlight w:val="white"/>
        </w:rPr>
        <w:t>19</w:t>
      </w:r>
      <w:r>
        <w:rPr>
          <w:sz w:val="25"/>
          <w:szCs w:val="25"/>
          <w:highlight w:val="white"/>
        </w:rPr>
        <w:t xml:space="preserve">. </w:t>
      </w:r>
      <w:r>
        <w:rPr>
          <w:sz w:val="25"/>
          <w:szCs w:val="25"/>
          <w:highlight w:val="white"/>
        </w:rPr>
        <w:t>Формула для расчета коэффициента предпринимательской прибыли на стр. 156 представлена в «усеченном» виде и не соответствует фактически примененному в отчете алгоритму расчета.</w:t>
      </w:r>
    </w:p>
    <w:p>
      <w:pPr>
        <w:pStyle w:val="Style19"/>
        <w:widowControl/>
        <w:suppressAutoHyphens w:val="true"/>
        <w:bidi w:val="0"/>
        <w:spacing w:lineRule="auto" w:line="232" w:before="0" w:after="0"/>
        <w:ind w:left="0" w:right="0" w:firstLine="850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 xml:space="preserve">20. </w:t>
      </w:r>
      <w:r>
        <w:rPr>
          <w:sz w:val="25"/>
          <w:szCs w:val="25"/>
        </w:rPr>
        <w:t>Для расчета безрисковой ставки использованы облигации федерального займа, размещенные существенно позже даты проведения оценки.</w:t>
      </w:r>
    </w:p>
    <w:p>
      <w:pPr>
        <w:pStyle w:val="Style19"/>
        <w:widowControl/>
        <w:suppressAutoHyphens w:val="true"/>
        <w:bidi w:val="0"/>
        <w:spacing w:lineRule="auto" w:line="232" w:before="0" w:after="0"/>
        <w:ind w:left="0" w:right="0" w:firstLine="850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 xml:space="preserve">21. </w:t>
      </w:r>
      <w:r>
        <w:rPr>
          <w:sz w:val="25"/>
          <w:szCs w:val="25"/>
        </w:rPr>
        <w:t>В таблице 49 на стр. 157 определ</w:t>
      </w:r>
      <w:r>
        <w:rPr>
          <w:sz w:val="25"/>
          <w:szCs w:val="25"/>
        </w:rPr>
        <w:t>ено</w:t>
      </w:r>
      <w:r>
        <w:rPr>
          <w:sz w:val="25"/>
          <w:szCs w:val="25"/>
        </w:rPr>
        <w:t xml:space="preserve"> среднее значение безрисковой ставки в размере 6,7%, а строкой ниже указ</w:t>
      </w:r>
      <w:r>
        <w:rPr>
          <w:sz w:val="25"/>
          <w:szCs w:val="25"/>
        </w:rPr>
        <w:t>ано</w:t>
      </w:r>
      <w:r>
        <w:rPr>
          <w:sz w:val="25"/>
          <w:szCs w:val="25"/>
        </w:rPr>
        <w:t>, что «Безрисковая ставка составляет 6,8 %».</w:t>
      </w:r>
    </w:p>
    <w:p>
      <w:pPr>
        <w:pStyle w:val="Style19"/>
        <w:widowControl/>
        <w:suppressAutoHyphens w:val="true"/>
        <w:bidi w:val="0"/>
        <w:spacing w:lineRule="auto" w:line="232" w:before="0" w:after="0"/>
        <w:ind w:left="0" w:right="0" w:firstLine="850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 xml:space="preserve">22. </w:t>
      </w:r>
      <w:r>
        <w:rPr>
          <w:sz w:val="25"/>
          <w:szCs w:val="25"/>
        </w:rPr>
        <w:t>Имеются неточности при расчете риска вложений в строительство (табл. 50 стр. 157):</w:t>
      </w:r>
    </w:p>
    <w:p>
      <w:pPr>
        <w:pStyle w:val="Style19"/>
        <w:bidi w:val="0"/>
        <w:spacing w:lineRule="auto" w:line="232" w:before="0" w:after="0"/>
        <w:ind w:left="0" w:right="0" w:firstLine="567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 xml:space="preserve">- отсутствуют оценки риска </w:t>
      </w:r>
      <w:r>
        <w:rPr>
          <w:sz w:val="25"/>
          <w:szCs w:val="25"/>
        </w:rPr>
        <w:t>в</w:t>
      </w:r>
      <w:r>
        <w:rPr>
          <w:sz w:val="25"/>
          <w:szCs w:val="25"/>
        </w:rPr>
        <w:t xml:space="preserve"> строках 1, 3 и 9. </w:t>
      </w:r>
    </w:p>
    <w:p>
      <w:pPr>
        <w:pStyle w:val="Style19"/>
        <w:bidi w:val="0"/>
        <w:spacing w:lineRule="auto" w:line="232" w:before="0" w:after="0"/>
        <w:ind w:left="0" w:right="0" w:firstLine="567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 xml:space="preserve">- дважды проставлены значения степени риска в строке 8 </w:t>
      </w:r>
      <w:r>
        <w:rPr>
          <w:sz w:val="25"/>
          <w:szCs w:val="25"/>
          <w:highlight w:val="white"/>
        </w:rPr>
        <w:t>(нарушение пункта 5 ФСО №3).</w:t>
      </w:r>
    </w:p>
    <w:p>
      <w:pPr>
        <w:pStyle w:val="Style19"/>
        <w:widowControl/>
        <w:suppressAutoHyphens w:val="true"/>
        <w:bidi w:val="0"/>
        <w:spacing w:lineRule="auto" w:line="232" w:before="0" w:after="0"/>
        <w:ind w:left="0" w:right="0" w:firstLine="850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 xml:space="preserve">23. </w:t>
      </w:r>
      <w:r>
        <w:rPr>
          <w:sz w:val="25"/>
          <w:szCs w:val="25"/>
        </w:rPr>
        <w:t>Расчет премии за низкую ликвидность выполнен не исходя из ранее обозначенного срока строительства в 12 месяцев (минимального периода отвлечения денежных средств), а исходя из срока экспозиции готового объекта, что привело к занижению расчетной величины годовой нормы отдачи, и соответственно, итоговой рыночной стоимости здания.</w:t>
      </w:r>
    </w:p>
    <w:p>
      <w:pPr>
        <w:pStyle w:val="Style19"/>
        <w:widowControl/>
        <w:suppressAutoHyphens w:val="true"/>
        <w:bidi w:val="0"/>
        <w:spacing w:before="0" w:after="0"/>
        <w:ind w:left="0" w:right="0" w:firstLine="850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 xml:space="preserve">24. </w:t>
      </w:r>
      <w:r>
        <w:rPr>
          <w:sz w:val="25"/>
          <w:szCs w:val="25"/>
        </w:rPr>
        <w:t>На стр.</w:t>
      </w:r>
      <w:bookmarkStart w:id="0" w:name="_Hlk34297769"/>
      <w:bookmarkEnd w:id="0"/>
      <w:r>
        <w:rPr>
          <w:sz w:val="25"/>
          <w:szCs w:val="25"/>
        </w:rPr>
        <w:t xml:space="preserve"> 156 «Продолжительность строительства объектов оценки определена с учетом рекомендаций СНиП 1.04.03-85 и составляет 12 месяцев». При этом далее в отчете, указ</w:t>
      </w:r>
      <w:r>
        <w:rPr>
          <w:sz w:val="25"/>
          <w:szCs w:val="25"/>
        </w:rPr>
        <w:t>ано</w:t>
      </w:r>
      <w:r>
        <w:rPr>
          <w:sz w:val="25"/>
          <w:szCs w:val="25"/>
        </w:rPr>
        <w:t xml:space="preserve"> на иной период – «Период строительства (п) определен по СНиП 1.04.03-85* «Нормы продолжительности строительства и задела в строительстве предприятий, зданий и сооружений», для примерно идентичных объектов (10 месяцев)».</w:t>
      </w:r>
    </w:p>
    <w:p>
      <w:pPr>
        <w:pStyle w:val="Style19"/>
        <w:widowControl/>
        <w:suppressAutoHyphens w:val="true"/>
        <w:bidi w:val="0"/>
        <w:spacing w:before="0" w:after="0"/>
        <w:ind w:left="0" w:right="0" w:firstLine="850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 xml:space="preserve">25. </w:t>
      </w:r>
      <w:r>
        <w:rPr>
          <w:sz w:val="25"/>
          <w:szCs w:val="25"/>
        </w:rPr>
        <w:t xml:space="preserve">На стр. 156 </w:t>
      </w:r>
      <w:r>
        <w:rPr>
          <w:sz w:val="25"/>
          <w:szCs w:val="25"/>
        </w:rPr>
        <w:t>указано,</w:t>
      </w:r>
      <w:r>
        <w:rPr>
          <w:sz w:val="25"/>
          <w:szCs w:val="25"/>
        </w:rPr>
        <w:t xml:space="preserve"> что «Для дальнейших расчетов принято, что финансирование строительства происходит </w:t>
      </w:r>
      <w:r>
        <w:rPr>
          <w:b w:val="false"/>
          <w:bCs w:val="false"/>
          <w:sz w:val="25"/>
          <w:szCs w:val="25"/>
        </w:rPr>
        <w:t>равновеликими</w:t>
      </w:r>
      <w:r>
        <w:rPr>
          <w:sz w:val="25"/>
          <w:szCs w:val="25"/>
        </w:rPr>
        <w:t xml:space="preserve"> ежемесячными авансовыми платежами», </w:t>
      </w:r>
      <w:r>
        <w:rPr>
          <w:sz w:val="25"/>
          <w:szCs w:val="25"/>
        </w:rPr>
        <w:t>хотя на</w:t>
      </w:r>
      <w:r>
        <w:rPr>
          <w:sz w:val="25"/>
          <w:szCs w:val="25"/>
        </w:rPr>
        <w:t xml:space="preserve"> стр.159-160, оценщик строит расчет с учетом наличия авансовых платежей – «…эксперт пришел к выводу, что доля авансового платежа в общей сумме платежей составит не более 25% от общей стоимости строительства (по данным проектно-строительных организаций – 5-10% СМР…».</w:t>
      </w:r>
    </w:p>
    <w:p>
      <w:pPr>
        <w:pStyle w:val="Style20"/>
        <w:tabs>
          <w:tab w:val="clear" w:pos="680"/>
          <w:tab w:val="left" w:pos="840" w:leader="none"/>
        </w:tabs>
        <w:bidi w:val="0"/>
        <w:spacing w:lineRule="atLeast" w:line="240" w:before="0" w:after="0"/>
        <w:contextualSpacing/>
        <w:jc w:val="both"/>
        <w:rPr/>
      </w:pPr>
      <w:r>
        <w:rPr>
          <w:rFonts w:ascii="Times New Roman;serif" w:hAnsi="Times New Roman;serif"/>
          <w:sz w:val="25"/>
          <w:szCs w:val="25"/>
          <w:highlight w:val="white"/>
        </w:rPr>
        <w:tab/>
        <w:t>2</w:t>
      </w:r>
      <w:r>
        <w:rPr>
          <w:rFonts w:ascii="Times New Roman;serif" w:hAnsi="Times New Roman;serif"/>
          <w:sz w:val="25"/>
          <w:szCs w:val="25"/>
          <w:highlight w:val="white"/>
        </w:rPr>
        <w:t>6</w:t>
      </w:r>
      <w:r>
        <w:rPr>
          <w:rFonts w:ascii="Times New Roman;serif" w:hAnsi="Times New Roman;serif"/>
          <w:sz w:val="25"/>
          <w:szCs w:val="25"/>
          <w:highlight w:val="white"/>
        </w:rPr>
        <w:t xml:space="preserve">. </w:t>
      </w:r>
      <w:r>
        <w:rPr>
          <w:rFonts w:ascii="Times New Roman;serif" w:hAnsi="Times New Roman;serif"/>
          <w:sz w:val="25"/>
          <w:szCs w:val="25"/>
          <w:highlight w:val="white"/>
        </w:rPr>
        <w:t xml:space="preserve">Некорректно применение сборников УПВС для расчета стоимости нового строительства здания 2008 года постройки. </w:t>
      </w:r>
      <w:r>
        <w:rPr>
          <w:rFonts w:ascii="Times New Roman;serif" w:hAnsi="Times New Roman;serif"/>
          <w:sz w:val="25"/>
          <w:szCs w:val="25"/>
          <w:highlight w:val="white"/>
        </w:rPr>
        <w:t>С</w:t>
      </w:r>
      <w:r>
        <w:rPr>
          <w:sz w:val="25"/>
          <w:szCs w:val="25"/>
          <w:highlight w:val="white"/>
        </w:rPr>
        <w:t>огласно п. 7.3.10 «Методических указаний о государственной кадастровой оценке».</w:t>
      </w:r>
      <w:r>
        <w:rPr>
          <w:rFonts w:ascii="Symbol" w:hAnsi="Symbol"/>
          <w:caps w:val="false"/>
          <w:smallCaps w:val="false"/>
          <w:sz w:val="28"/>
          <w:szCs w:val="25"/>
          <w:highlight w:val="white"/>
        </w:rPr>
        <w:t xml:space="preserve"> </w:t>
      </w:r>
      <w:r>
        <w:rPr>
          <w:sz w:val="25"/>
          <w:szCs w:val="25"/>
          <w:highlight w:val="white"/>
        </w:rPr>
        <w:t>Справочники УПВС не применяются для объектов недвижимости, построенных после 2000 года.</w:t>
      </w:r>
    </w:p>
    <w:p>
      <w:pPr>
        <w:pStyle w:val="Style20"/>
        <w:tabs>
          <w:tab w:val="clear" w:pos="680"/>
          <w:tab w:val="left" w:pos="840" w:leader="none"/>
        </w:tabs>
        <w:bidi w:val="0"/>
        <w:spacing w:lineRule="atLeast" w:line="240" w:before="0" w:after="0"/>
        <w:contextualSpacing/>
        <w:jc w:val="both"/>
        <w:rPr/>
      </w:pPr>
      <w:r>
        <w:rPr>
          <w:sz w:val="25"/>
          <w:szCs w:val="25"/>
          <w:highlight w:val="white"/>
        </w:rPr>
        <w:tab/>
      </w:r>
      <w:r>
        <w:rPr>
          <w:sz w:val="25"/>
          <w:szCs w:val="25"/>
          <w:highlight w:val="white"/>
        </w:rPr>
        <w:t>2</w:t>
      </w:r>
      <w:r>
        <w:rPr>
          <w:sz w:val="25"/>
          <w:szCs w:val="25"/>
          <w:highlight w:val="white"/>
        </w:rPr>
        <w:t>7</w:t>
      </w:r>
      <w:r>
        <w:rPr>
          <w:sz w:val="25"/>
          <w:szCs w:val="25"/>
          <w:highlight w:val="white"/>
        </w:rPr>
        <w:t>. На стр. 157 приняты крайние значения системных и несистемных рисков рамках доходного подхода, не имеющие обоснования.</w:t>
      </w:r>
    </w:p>
    <w:p>
      <w:pPr>
        <w:pStyle w:val="Style19"/>
        <w:tabs>
          <w:tab w:val="clear" w:pos="680"/>
          <w:tab w:val="left" w:pos="840" w:leader="none"/>
        </w:tabs>
        <w:spacing w:lineRule="atLeast" w:line="240"/>
        <w:jc w:val="both"/>
        <w:rPr/>
      </w:pPr>
      <w:r>
        <w:rPr>
          <w:sz w:val="25"/>
          <w:szCs w:val="25"/>
          <w:highlight w:val="white"/>
        </w:rPr>
        <w:tab/>
      </w:r>
      <w:r>
        <w:rPr>
          <w:sz w:val="25"/>
          <w:szCs w:val="25"/>
          <w:highlight w:val="white"/>
        </w:rPr>
        <w:t>2</w:t>
      </w:r>
      <w:r>
        <w:rPr>
          <w:sz w:val="25"/>
          <w:szCs w:val="25"/>
          <w:highlight w:val="white"/>
        </w:rPr>
        <w:t>8</w:t>
      </w:r>
      <w:r>
        <w:rPr>
          <w:sz w:val="25"/>
          <w:szCs w:val="25"/>
          <w:highlight w:val="white"/>
        </w:rPr>
        <w:t xml:space="preserve">. </w:t>
      </w:r>
      <w:r>
        <w:rPr>
          <w:sz w:val="25"/>
          <w:szCs w:val="25"/>
          <w:highlight w:val="white"/>
        </w:rPr>
        <w:t>На стр. 160 оценщик указывает, что для расчета применен индекс удорожания капиталовложений в строительстве по сравнению с уровнем цен 1984 года к дате оценки (К2) по состоянию на июль 2012 года, в то время как дата оценки – 01.01.2019 г.</w:t>
      </w:r>
    </w:p>
    <w:p>
      <w:pPr>
        <w:pStyle w:val="Style19"/>
        <w:tabs>
          <w:tab w:val="clear" w:pos="680"/>
          <w:tab w:val="left" w:pos="840" w:leader="none"/>
        </w:tabs>
        <w:spacing w:lineRule="atLeast" w:line="240"/>
        <w:jc w:val="both"/>
        <w:rPr/>
      </w:pPr>
      <w:r>
        <w:rPr>
          <w:sz w:val="25"/>
          <w:szCs w:val="25"/>
          <w:highlight w:val="white"/>
        </w:rPr>
        <w:tab/>
      </w:r>
      <w:r>
        <w:rPr>
          <w:sz w:val="25"/>
          <w:szCs w:val="25"/>
          <w:highlight w:val="white"/>
        </w:rPr>
        <w:t>29</w:t>
      </w:r>
      <w:r>
        <w:rPr>
          <w:sz w:val="25"/>
          <w:szCs w:val="25"/>
          <w:highlight w:val="white"/>
        </w:rPr>
        <w:t>. На стр. 161 физический износ объекта принят по экспертной шкале, а не рассчитан поэлементно.</w:t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/>
      </w:pPr>
      <w:r>
        <w:rPr>
          <w:sz w:val="25"/>
          <w:szCs w:val="25"/>
          <w:highlight w:val="white"/>
        </w:rPr>
        <w:tab/>
      </w:r>
      <w:r>
        <w:rPr>
          <w:sz w:val="25"/>
          <w:szCs w:val="25"/>
          <w:highlight w:val="white"/>
        </w:rPr>
        <w:t>3</w:t>
      </w:r>
      <w:r>
        <w:rPr>
          <w:sz w:val="25"/>
          <w:szCs w:val="25"/>
          <w:highlight w:val="white"/>
        </w:rPr>
        <w:t>0</w:t>
      </w:r>
      <w:r>
        <w:rPr>
          <w:sz w:val="25"/>
          <w:szCs w:val="25"/>
          <w:highlight w:val="white"/>
        </w:rPr>
        <w:t xml:space="preserve">. На стр. 166 </w:t>
      </w:r>
      <w:r>
        <w:rPr>
          <w:sz w:val="25"/>
          <w:szCs w:val="25"/>
          <w:highlight w:val="white"/>
        </w:rPr>
        <w:t>н</w:t>
      </w:r>
      <w:r>
        <w:rPr>
          <w:sz w:val="25"/>
          <w:szCs w:val="25"/>
          <w:highlight w:val="white"/>
        </w:rPr>
        <w:t>аличие признаков функционального устаревания у здания 2008 года постройки, построенного с использованием современных технологий и материалов, не представляется обоснованным и ведет с занижению рыночной стоимости.</w:t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/>
      </w:pPr>
      <w:r>
        <w:rPr>
          <w:sz w:val="25"/>
          <w:szCs w:val="25"/>
          <w:highlight w:val="white"/>
        </w:rPr>
        <w:tab/>
        <w:t>3</w:t>
      </w:r>
      <w:r>
        <w:rPr>
          <w:sz w:val="25"/>
          <w:szCs w:val="25"/>
          <w:highlight w:val="white"/>
        </w:rPr>
        <w:t>1</w:t>
      </w:r>
      <w:r>
        <w:rPr>
          <w:sz w:val="25"/>
          <w:szCs w:val="25"/>
          <w:highlight w:val="white"/>
        </w:rPr>
        <w:t xml:space="preserve">. </w:t>
      </w:r>
      <w:r>
        <w:rPr>
          <w:sz w:val="25"/>
          <w:szCs w:val="25"/>
          <w:highlight w:val="white"/>
        </w:rPr>
        <w:t>На стр. 174 указано, что объект оценки и аналоги расположены на «красной линии», на стр. 177 указано на применение корректировки на «красную линию» в отношении аналогов № 1,2,3, что приводит к неоднозначному толкованию информации, содержащейся в отчете (нарушение пункта 5 ФСО №3).</w:t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/>
      </w:pPr>
      <w:r>
        <w:rPr>
          <w:rFonts w:ascii="Times New Roman;serif" w:hAnsi="Times New Roman;serif"/>
          <w:sz w:val="28"/>
          <w:szCs w:val="25"/>
          <w:highlight w:val="white"/>
        </w:rPr>
        <w:tab/>
      </w:r>
      <w:r>
        <w:rPr>
          <w:rFonts w:ascii="Times New Roman;serif" w:hAnsi="Times New Roman;serif"/>
          <w:sz w:val="26"/>
          <w:szCs w:val="26"/>
          <w:highlight w:val="white"/>
        </w:rPr>
        <w:t>3</w:t>
      </w:r>
      <w:r>
        <w:rPr>
          <w:rFonts w:ascii="Times New Roman;serif" w:hAnsi="Times New Roman;serif"/>
          <w:sz w:val="26"/>
          <w:szCs w:val="26"/>
          <w:highlight w:val="white"/>
        </w:rPr>
        <w:t>2</w:t>
      </w:r>
      <w:r>
        <w:rPr>
          <w:rFonts w:ascii="Times New Roman;serif" w:hAnsi="Times New Roman;serif"/>
          <w:sz w:val="26"/>
          <w:szCs w:val="26"/>
          <w:highlight w:val="white"/>
        </w:rPr>
        <w:t xml:space="preserve">. </w:t>
      </w:r>
      <w:r>
        <w:rPr>
          <w:rFonts w:ascii="Times New Roman;serif" w:hAnsi="Times New Roman;serif"/>
          <w:sz w:val="26"/>
          <w:szCs w:val="26"/>
          <w:highlight w:val="white"/>
        </w:rPr>
        <w:t>При применении сравнительного подхода  не учтено наличие у аналога №2 цокольного этажа, что ведет к снижению рыночной стоимости.</w:t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sz w:val="25"/>
          <w:szCs w:val="25"/>
          <w:highlight w:val="white"/>
        </w:rPr>
      </w:pPr>
      <w:r>
        <w:rPr>
          <w:sz w:val="25"/>
          <w:szCs w:val="25"/>
          <w:highlight w:val="white"/>
        </w:rPr>
        <w:tab/>
      </w:r>
      <w:r>
        <w:rPr>
          <w:sz w:val="25"/>
          <w:szCs w:val="25"/>
          <w:highlight w:val="white"/>
        </w:rPr>
        <w:t>33</w:t>
      </w:r>
      <w:r>
        <w:rPr>
          <w:sz w:val="25"/>
          <w:szCs w:val="25"/>
          <w:highlight w:val="white"/>
        </w:rPr>
        <w:t>. При расчете сравнительным подходом произведены расчеты с использованием объектов- аналогов без выделения земельного участка, т. е. единого объекта недвижимости, что не позволяет произвести корректные поправки, относящиеся только к земельному участку или только к объекту капитального строительства.</w:t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/>
      </w:pPr>
      <w:r>
        <w:rPr>
          <w:sz w:val="25"/>
          <w:szCs w:val="25"/>
          <w:highlight w:val="white"/>
        </w:rPr>
        <w:tab/>
      </w:r>
      <w:r>
        <w:rPr>
          <w:sz w:val="25"/>
          <w:szCs w:val="25"/>
          <w:highlight w:val="white"/>
        </w:rPr>
        <w:t>3</w:t>
      </w:r>
      <w:r>
        <w:rPr>
          <w:sz w:val="25"/>
          <w:szCs w:val="25"/>
          <w:highlight w:val="white"/>
        </w:rPr>
        <w:t>4</w:t>
      </w:r>
      <w:r>
        <w:rPr>
          <w:sz w:val="25"/>
          <w:szCs w:val="25"/>
          <w:highlight w:val="white"/>
        </w:rPr>
        <w:t>. На стр. 189 при расчетах методом капитализации используется не существующее понятие «норма дисконтирования».</w:t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/>
      </w:pPr>
      <w:r>
        <w:rPr>
          <w:sz w:val="25"/>
          <w:szCs w:val="25"/>
          <w:highlight w:val="white"/>
        </w:rPr>
        <w:tab/>
      </w:r>
      <w:r>
        <w:rPr>
          <w:sz w:val="25"/>
          <w:szCs w:val="25"/>
          <w:highlight w:val="white"/>
        </w:rPr>
        <w:t>3</w:t>
      </w:r>
      <w:r>
        <w:rPr>
          <w:sz w:val="25"/>
          <w:szCs w:val="25"/>
          <w:highlight w:val="white"/>
        </w:rPr>
        <w:t>5</w:t>
      </w:r>
      <w:r>
        <w:rPr>
          <w:sz w:val="25"/>
          <w:szCs w:val="25"/>
          <w:highlight w:val="white"/>
        </w:rPr>
        <w:t xml:space="preserve">. На стр. 194 при определении нормы возврата в рамках расчета </w:t>
      </w:r>
      <w:r>
        <w:rPr>
          <w:sz w:val="25"/>
          <w:szCs w:val="25"/>
          <w:highlight w:val="white"/>
        </w:rPr>
        <w:t>методом капитализации используется метод Инвуда. В рамках данного отчета следовало применять метод Ринга.</w:t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/>
      </w:pPr>
      <w:r>
        <w:rPr>
          <w:sz w:val="25"/>
          <w:szCs w:val="25"/>
          <w:highlight w:val="white"/>
        </w:rPr>
        <w:tab/>
      </w:r>
      <w:r>
        <w:rPr>
          <w:sz w:val="25"/>
          <w:szCs w:val="25"/>
          <w:highlight w:val="white"/>
        </w:rPr>
        <w:t>3</w:t>
      </w:r>
      <w:r>
        <w:rPr>
          <w:sz w:val="25"/>
          <w:szCs w:val="25"/>
          <w:highlight w:val="white"/>
        </w:rPr>
        <w:t>6</w:t>
      </w:r>
      <w:r>
        <w:rPr>
          <w:sz w:val="25"/>
          <w:szCs w:val="25"/>
          <w:highlight w:val="white"/>
        </w:rPr>
        <w:t>. На стр. 195 в таблице «Расчет коэффициента капитализации» срок экономической жизни объекта — 150 лет принят без обоснования, год постройки здания прописан 2003, хотя по техническому паспорту 2008 год.</w:t>
      </w:r>
    </w:p>
    <w:p>
      <w:pPr>
        <w:pStyle w:val="Style20"/>
        <w:tabs>
          <w:tab w:val="clear" w:pos="680"/>
          <w:tab w:val="left" w:pos="840" w:leader="none"/>
        </w:tabs>
        <w:bidi w:val="0"/>
        <w:spacing w:lineRule="auto" w:before="0" w:after="0"/>
        <w:contextualSpacing/>
        <w:jc w:val="both"/>
        <w:rPr/>
      </w:pPr>
      <w:r>
        <w:rPr>
          <w:sz w:val="25"/>
          <w:szCs w:val="25"/>
          <w:highlight w:val="white"/>
        </w:rPr>
        <w:tab/>
      </w:r>
      <w:r>
        <w:rPr>
          <w:sz w:val="25"/>
          <w:szCs w:val="25"/>
          <w:highlight w:val="white"/>
        </w:rPr>
        <w:t>3</w:t>
      </w:r>
      <w:r>
        <w:rPr>
          <w:sz w:val="25"/>
          <w:szCs w:val="25"/>
          <w:highlight w:val="white"/>
        </w:rPr>
        <w:t>7</w:t>
      </w:r>
      <w:r>
        <w:rPr>
          <w:sz w:val="25"/>
          <w:szCs w:val="25"/>
          <w:highlight w:val="white"/>
        </w:rPr>
        <w:t xml:space="preserve">. </w:t>
      </w:r>
      <w:r>
        <w:rPr>
          <w:sz w:val="25"/>
          <w:szCs w:val="25"/>
          <w:highlight w:val="white"/>
        </w:rPr>
        <w:t>В рамках затратного подхода при определении стоимости земельного участка как незастроенного методом сравнения продаж Оценщик применяет повышающую корректировку на инженерное обеспечение объектов-аналогов. При этом в тексте объявлений всех объектов-аналогов указано на наличие коммуникаций как минимум по границе участка, т.е. наличие возможности для подключения. Данная корректировка избыточна, ведет к искусственному увеличению стоимости земельного участка и, соответственно, занижению стоимости здания.</w:t>
      </w:r>
    </w:p>
    <w:p>
      <w:pPr>
        <w:pStyle w:val="Style20"/>
        <w:tabs>
          <w:tab w:val="clear" w:pos="680"/>
          <w:tab w:val="left" w:pos="840" w:leader="none"/>
        </w:tabs>
        <w:bidi w:val="0"/>
        <w:spacing w:lineRule="auto" w:before="0" w:after="0"/>
        <w:contextualSpacing/>
        <w:jc w:val="both"/>
        <w:rPr/>
      </w:pPr>
      <w:r>
        <w:rPr>
          <w:sz w:val="25"/>
          <w:szCs w:val="25"/>
        </w:rPr>
        <w:tab/>
      </w:r>
      <w:r>
        <w:rPr>
          <w:sz w:val="25"/>
          <w:szCs w:val="25"/>
        </w:rPr>
        <w:t>3</w:t>
      </w:r>
      <w:r>
        <w:rPr>
          <w:sz w:val="25"/>
          <w:szCs w:val="25"/>
        </w:rPr>
        <w:t>8</w:t>
      </w:r>
      <w:r>
        <w:rPr>
          <w:sz w:val="25"/>
          <w:szCs w:val="25"/>
        </w:rPr>
        <w:t xml:space="preserve">. В приложении к отчету на с. 207 - 215 </w:t>
      </w:r>
      <w:r>
        <w:rPr>
          <w:sz w:val="26"/>
          <w:szCs w:val="25"/>
        </w:rPr>
        <w:t>о</w:t>
      </w:r>
      <w:r>
        <w:rPr>
          <w:sz w:val="26"/>
          <w:szCs w:val="25"/>
        </w:rPr>
        <w:t>бъявлени</w:t>
      </w:r>
      <w:r>
        <w:rPr>
          <w:sz w:val="26"/>
          <w:szCs w:val="25"/>
        </w:rPr>
        <w:t>я</w:t>
      </w:r>
      <w:r>
        <w:rPr>
          <w:sz w:val="26"/>
          <w:szCs w:val="25"/>
        </w:rPr>
        <w:t xml:space="preserve"> о продаже, нечитаемые, что приводит к неоднозначному толкованию итоговой величины рыночной стоимости (нарушение пункта 5 ФСО №3).</w:t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Style19"/>
        <w:tabs>
          <w:tab w:val="clear" w:pos="680"/>
          <w:tab w:val="left" w:pos="840" w:leader="none"/>
        </w:tabs>
        <w:spacing w:lineRule="atLeast" w:line="240"/>
        <w:jc w:val="both"/>
        <w:rPr>
          <w:sz w:val="25"/>
          <w:szCs w:val="25"/>
        </w:rPr>
      </w:pPr>
      <w:r>
        <w:rPr>
          <w:sz w:val="26"/>
          <w:szCs w:val="25"/>
          <w:u w:val="none"/>
        </w:rPr>
        <w:tab/>
      </w:r>
      <w:r>
        <w:rPr>
          <w:sz w:val="26"/>
          <w:szCs w:val="25"/>
          <w:u w:val="single"/>
        </w:rPr>
        <w:t>Решили:</w:t>
      </w:r>
      <w:r>
        <w:rPr>
          <w:sz w:val="25"/>
          <w:szCs w:val="25"/>
        </w:rPr>
        <w:t xml:space="preserve"> </w:t>
      </w:r>
      <w:r>
        <w:rPr>
          <w:sz w:val="26"/>
          <w:szCs w:val="25"/>
        </w:rPr>
        <w:t xml:space="preserve">Отклонить заявление </w:t>
      </w:r>
      <w:r>
        <w:rPr>
          <w:sz w:val="26"/>
          <w:szCs w:val="25"/>
        </w:rPr>
        <w:t xml:space="preserve">ООО «Остров» </w:t>
      </w:r>
      <w:r>
        <w:rPr>
          <w:sz w:val="26"/>
          <w:szCs w:val="25"/>
        </w:rPr>
        <w:t xml:space="preserve">о пересмотре кадастровой стоимости объекта недвижимости (здания) с кадастровым номером </w:t>
      </w:r>
      <w:r>
        <w:rPr>
          <w:sz w:val="26"/>
          <w:szCs w:val="25"/>
        </w:rPr>
        <w:t xml:space="preserve">30:06:100617:510 </w:t>
      </w:r>
      <w:r>
        <w:rPr>
          <w:sz w:val="26"/>
          <w:szCs w:val="25"/>
        </w:rPr>
        <w:t>по основанию установления в отношении данного объекта недвижимости рыночной стоимости, в связи с нарушением требований ст.11 Федерального закона от 29.07.1998 №135-ФЗ «Об оценочной деятельности в Российской Федерации», требований к содержанию отчета об оценке, к описанию в отчете об оценке информации, используемой при проведении оценки, установленным федеральными стандартами оценки.</w:t>
      </w:r>
    </w:p>
    <w:p>
      <w:pPr>
        <w:pStyle w:val="Style19"/>
        <w:tabs>
          <w:tab w:val="clear" w:pos="680"/>
          <w:tab w:val="left" w:pos="840" w:leader="none"/>
        </w:tabs>
        <w:spacing w:lineRule="atLeast" w:line="240"/>
        <w:jc w:val="both"/>
        <w:rPr>
          <w:sz w:val="26"/>
          <w:szCs w:val="25"/>
        </w:rPr>
      </w:pPr>
      <w:r>
        <w:rPr>
          <w:sz w:val="26"/>
          <w:szCs w:val="25"/>
        </w:rPr>
        <w:tab/>
      </w:r>
      <w:r>
        <w:rPr>
          <w:sz w:val="26"/>
          <w:szCs w:val="25"/>
          <w:u w:val="single"/>
        </w:rPr>
        <w:t>Рекомендовано:</w:t>
      </w:r>
      <w:r>
        <w:rPr>
          <w:sz w:val="26"/>
          <w:szCs w:val="25"/>
        </w:rPr>
        <w:t xml:space="preserve"> доработать отчет об оценке в соответствии с требованиями ст.11 Федерального закона от 29.07.1998 №135-ФЗ «Об оценочной деятельности в Российской Федерации», требованиями к содержанию отчета об оценке, к описанию в отчете об оценке информации, используемой при проведении оценки, установленным федеральными стандартами оценки и обратиться в комиссию повторно.</w:t>
      </w:r>
    </w:p>
    <w:p>
      <w:pPr>
        <w:pStyle w:val="Style19"/>
        <w:tabs>
          <w:tab w:val="clear" w:pos="680"/>
          <w:tab w:val="left" w:pos="840" w:leader="none"/>
        </w:tabs>
        <w:spacing w:lineRule="atLeast" w:line="240"/>
        <w:jc w:val="both"/>
        <w:rPr/>
      </w:pPr>
      <w:r>
        <w:rPr/>
      </w:r>
    </w:p>
    <w:p>
      <w:pPr>
        <w:pStyle w:val="Style19"/>
        <w:shd w:fill="FFFFFF" w:val="clear"/>
        <w:spacing w:before="0" w:after="283"/>
        <w:jc w:val="both"/>
        <w:rPr>
          <w:sz w:val="26"/>
          <w:u w:val="single"/>
        </w:rPr>
      </w:pPr>
      <w:r>
        <w:rPr>
          <w:sz w:val="26"/>
          <w:u w:val="single"/>
        </w:rPr>
        <w:t>Итоги голосования:</w:t>
      </w:r>
    </w:p>
    <w:p>
      <w:pPr>
        <w:pStyle w:val="Style20"/>
        <w:widowControl w:val="false"/>
        <w:tabs>
          <w:tab w:val="clear" w:pos="680"/>
          <w:tab w:val="left" w:pos="2051" w:leader="none"/>
        </w:tabs>
        <w:suppressAutoHyphens w:val="false"/>
        <w:autoSpaceDE w:val="false"/>
        <w:textAlignment w:val="auto"/>
        <w:rPr>
          <w:kern w:val="0"/>
          <w:sz w:val="26"/>
          <w:szCs w:val="26"/>
          <w:lang w:eastAsia="ru-RU"/>
        </w:rPr>
      </w:pPr>
      <w:r>
        <w:rPr>
          <w:kern w:val="0"/>
          <w:sz w:val="26"/>
          <w:szCs w:val="26"/>
          <w:lang w:eastAsia="ru-RU"/>
        </w:rPr>
        <w:t>Адамова Е.А.        –  «</w:t>
      </w:r>
      <w:r>
        <w:rPr>
          <w:kern w:val="0"/>
          <w:sz w:val="26"/>
          <w:szCs w:val="26"/>
          <w:lang w:eastAsia="ru-RU"/>
        </w:rPr>
        <w:t>за</w:t>
      </w:r>
      <w:r>
        <w:rPr>
          <w:kern w:val="0"/>
          <w:sz w:val="26"/>
          <w:szCs w:val="26"/>
          <w:lang w:eastAsia="ru-RU"/>
        </w:rPr>
        <w:t xml:space="preserve">», </w:t>
      </w:r>
    </w:p>
    <w:p>
      <w:pPr>
        <w:pStyle w:val="Style20"/>
        <w:rPr>
          <w:kern w:val="0"/>
          <w:sz w:val="26"/>
          <w:szCs w:val="26"/>
          <w:lang w:eastAsia="ru-RU"/>
        </w:rPr>
      </w:pPr>
      <w:r>
        <w:rPr>
          <w:kern w:val="0"/>
          <w:sz w:val="26"/>
          <w:szCs w:val="26"/>
          <w:lang w:eastAsia="ru-RU"/>
        </w:rPr>
      </w:r>
    </w:p>
    <w:p>
      <w:pPr>
        <w:pStyle w:val="Style20"/>
        <w:rPr>
          <w:kern w:val="0"/>
          <w:sz w:val="26"/>
          <w:szCs w:val="26"/>
          <w:lang w:eastAsia="ru-RU"/>
        </w:rPr>
      </w:pPr>
      <w:r>
        <w:rPr>
          <w:kern w:val="0"/>
          <w:sz w:val="26"/>
          <w:szCs w:val="26"/>
          <w:lang w:eastAsia="ru-RU"/>
        </w:rPr>
        <w:t>Бакаева М.А.        –  «</w:t>
      </w:r>
      <w:r>
        <w:rPr>
          <w:kern w:val="0"/>
          <w:sz w:val="26"/>
          <w:szCs w:val="26"/>
          <w:lang w:eastAsia="ru-RU"/>
        </w:rPr>
        <w:t>за</w:t>
      </w:r>
      <w:r>
        <w:rPr>
          <w:kern w:val="0"/>
          <w:sz w:val="26"/>
          <w:szCs w:val="26"/>
          <w:lang w:eastAsia="ru-RU"/>
        </w:rPr>
        <w:t>»,</w:t>
      </w:r>
    </w:p>
    <w:p>
      <w:pPr>
        <w:pStyle w:val="Style2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Style20"/>
        <w:rPr>
          <w:sz w:val="26"/>
          <w:szCs w:val="26"/>
        </w:rPr>
      </w:pPr>
      <w:r>
        <w:rPr>
          <w:sz w:val="26"/>
          <w:szCs w:val="26"/>
        </w:rPr>
        <w:t xml:space="preserve">Лисицкий А.В.     </w:t>
      </w:r>
      <w:r>
        <w:rPr>
          <w:kern w:val="0"/>
          <w:sz w:val="26"/>
          <w:szCs w:val="26"/>
          <w:lang w:eastAsia="ru-RU"/>
        </w:rPr>
        <w:t>–  «</w:t>
      </w:r>
      <w:r>
        <w:rPr>
          <w:kern w:val="0"/>
          <w:sz w:val="26"/>
          <w:szCs w:val="26"/>
          <w:lang w:eastAsia="ru-RU"/>
        </w:rPr>
        <w:t>за</w:t>
      </w:r>
      <w:r>
        <w:rPr>
          <w:kern w:val="0"/>
          <w:sz w:val="26"/>
          <w:szCs w:val="26"/>
          <w:lang w:eastAsia="ru-RU"/>
        </w:rPr>
        <w:t>»,</w:t>
      </w:r>
    </w:p>
    <w:p>
      <w:pPr>
        <w:pStyle w:val="Style2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Style20"/>
        <w:rPr>
          <w:sz w:val="26"/>
          <w:szCs w:val="26"/>
        </w:rPr>
      </w:pPr>
      <w:r>
        <w:rPr>
          <w:sz w:val="26"/>
          <w:szCs w:val="26"/>
        </w:rPr>
        <w:t xml:space="preserve">Макаров Ю.А.      </w:t>
      </w:r>
      <w:r>
        <w:rPr>
          <w:kern w:val="0"/>
          <w:sz w:val="26"/>
          <w:szCs w:val="26"/>
          <w:lang w:eastAsia="ru-RU"/>
        </w:rPr>
        <w:t>–  «</w:t>
      </w:r>
      <w:r>
        <w:rPr>
          <w:kern w:val="0"/>
          <w:sz w:val="26"/>
          <w:szCs w:val="26"/>
          <w:lang w:eastAsia="ru-RU"/>
        </w:rPr>
        <w:t>за</w:t>
      </w:r>
      <w:r>
        <w:rPr>
          <w:kern w:val="0"/>
          <w:sz w:val="26"/>
          <w:szCs w:val="26"/>
          <w:lang w:eastAsia="ru-RU"/>
        </w:rPr>
        <w:t>»,</w:t>
      </w:r>
    </w:p>
    <w:p>
      <w:pPr>
        <w:pStyle w:val="Style20"/>
        <w:rPr>
          <w:kern w:val="0"/>
          <w:sz w:val="26"/>
          <w:szCs w:val="26"/>
          <w:lang w:eastAsia="ru-RU"/>
        </w:rPr>
      </w:pPr>
      <w:r>
        <w:rPr>
          <w:kern w:val="0"/>
          <w:sz w:val="26"/>
          <w:szCs w:val="26"/>
          <w:lang w:eastAsia="ru-RU"/>
        </w:rPr>
      </w:r>
    </w:p>
    <w:p>
      <w:pPr>
        <w:pStyle w:val="Style20"/>
        <w:rPr>
          <w:kern w:val="0"/>
          <w:sz w:val="26"/>
          <w:szCs w:val="26"/>
          <w:lang w:eastAsia="ru-RU"/>
        </w:rPr>
      </w:pPr>
      <w:r>
        <w:rPr>
          <w:kern w:val="0"/>
          <w:sz w:val="26"/>
          <w:szCs w:val="26"/>
          <w:lang w:eastAsia="ru-RU"/>
        </w:rPr>
        <w:t>Москвитина Н.В. –  «</w:t>
      </w:r>
      <w:r>
        <w:rPr>
          <w:kern w:val="0"/>
          <w:sz w:val="26"/>
          <w:szCs w:val="26"/>
          <w:lang w:eastAsia="ru-RU"/>
        </w:rPr>
        <w:t>за</w:t>
      </w:r>
      <w:r>
        <w:rPr>
          <w:kern w:val="0"/>
          <w:sz w:val="26"/>
          <w:szCs w:val="26"/>
          <w:lang w:eastAsia="ru-RU"/>
        </w:rPr>
        <w:t>»,</w:t>
      </w:r>
    </w:p>
    <w:p>
      <w:pPr>
        <w:pStyle w:val="Style20"/>
        <w:rPr>
          <w:kern w:val="0"/>
          <w:sz w:val="26"/>
          <w:szCs w:val="26"/>
          <w:lang w:eastAsia="ru-RU"/>
        </w:rPr>
      </w:pPr>
      <w:r>
        <w:rPr>
          <w:kern w:val="0"/>
          <w:sz w:val="26"/>
          <w:szCs w:val="26"/>
          <w:lang w:eastAsia="ru-RU"/>
        </w:rPr>
      </w:r>
    </w:p>
    <w:p>
      <w:pPr>
        <w:pStyle w:val="Style20"/>
        <w:widowControl w:val="false"/>
        <w:tabs>
          <w:tab w:val="clear" w:pos="680"/>
          <w:tab w:val="left" w:pos="2051" w:leader="none"/>
        </w:tabs>
        <w:suppressAutoHyphens w:val="false"/>
        <w:autoSpaceDE w:val="false"/>
        <w:textAlignment w:val="auto"/>
        <w:rPr>
          <w:kern w:val="0"/>
          <w:sz w:val="26"/>
          <w:szCs w:val="26"/>
          <w:lang w:eastAsia="ru-RU"/>
        </w:rPr>
      </w:pPr>
      <w:r>
        <w:rPr>
          <w:kern w:val="0"/>
          <w:sz w:val="26"/>
          <w:szCs w:val="26"/>
          <w:lang w:eastAsia="ru-RU"/>
        </w:rPr>
        <w:t>Никулин Д.А.     –    «</w:t>
      </w:r>
      <w:r>
        <w:rPr>
          <w:kern w:val="0"/>
          <w:sz w:val="26"/>
          <w:szCs w:val="26"/>
          <w:lang w:eastAsia="ru-RU"/>
        </w:rPr>
        <w:t>за</w:t>
      </w:r>
      <w:r>
        <w:rPr>
          <w:kern w:val="0"/>
          <w:sz w:val="26"/>
          <w:szCs w:val="26"/>
          <w:lang w:eastAsia="ru-RU"/>
        </w:rPr>
        <w:t>»,</w:t>
      </w:r>
    </w:p>
    <w:p>
      <w:pPr>
        <w:pStyle w:val="Style2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Style19"/>
        <w:spacing w:before="0" w:after="283"/>
        <w:jc w:val="both"/>
        <w:rPr>
          <w:sz w:val="26"/>
        </w:rPr>
      </w:pPr>
      <w:r>
        <w:rPr>
          <w:rStyle w:val="Style13"/>
          <w:sz w:val="26"/>
          <w:szCs w:val="26"/>
        </w:rPr>
        <w:t xml:space="preserve">Султанова Л.К.     </w:t>
      </w:r>
      <w:r>
        <w:rPr>
          <w:rStyle w:val="Style13"/>
          <w:kern w:val="0"/>
          <w:sz w:val="26"/>
          <w:szCs w:val="26"/>
          <w:lang w:eastAsia="ru-RU"/>
        </w:rPr>
        <w:t>–  «</w:t>
      </w:r>
      <w:r>
        <w:rPr>
          <w:rStyle w:val="Style13"/>
          <w:kern w:val="0"/>
          <w:sz w:val="26"/>
          <w:szCs w:val="26"/>
          <w:lang w:eastAsia="ru-RU"/>
        </w:rPr>
        <w:t>за</w:t>
      </w:r>
      <w:r>
        <w:rPr>
          <w:rStyle w:val="Style13"/>
          <w:kern w:val="0"/>
          <w:sz w:val="26"/>
          <w:szCs w:val="26"/>
          <w:lang w:eastAsia="ru-RU"/>
        </w:rPr>
        <w:t>».</w:t>
      </w:r>
    </w:p>
    <w:p>
      <w:pPr>
        <w:pStyle w:val="Style19"/>
        <w:spacing w:before="0" w:after="283"/>
        <w:jc w:val="both"/>
        <w:rPr>
          <w:sz w:val="26"/>
        </w:rPr>
      </w:pPr>
      <w:r>
        <w:rPr>
          <w:rStyle w:val="Style13"/>
          <w:kern w:val="0"/>
          <w:sz w:val="26"/>
          <w:szCs w:val="26"/>
          <w:u w:val="single"/>
          <w:lang w:eastAsia="ru-RU"/>
        </w:rPr>
        <w:t xml:space="preserve">Слушали: </w:t>
      </w:r>
    </w:p>
    <w:p>
      <w:pPr>
        <w:pStyle w:val="Style19"/>
        <w:shd w:fill="FFFFFF" w:val="clear"/>
        <w:spacing w:before="0" w:after="283"/>
        <w:ind w:left="0" w:right="0" w:firstLine="720"/>
        <w:jc w:val="both"/>
        <w:rPr>
          <w:sz w:val="26"/>
        </w:rPr>
      </w:pPr>
      <w:r>
        <w:rPr>
          <w:sz w:val="26"/>
        </w:rPr>
        <w:t>Москвитина Н.В.</w:t>
      </w:r>
      <w:r>
        <w:rPr>
          <w:sz w:val="26"/>
        </w:rPr>
        <w:t xml:space="preserve"> подвела итоги заседания </w:t>
      </w:r>
      <w:r>
        <w:rPr>
          <w:sz w:val="26"/>
        </w:rPr>
        <w:t>к</w:t>
      </w:r>
      <w:r>
        <w:rPr>
          <w:sz w:val="26"/>
        </w:rPr>
        <w:t xml:space="preserve">омиссии и объявила заседание </w:t>
      </w:r>
      <w:r>
        <w:rPr>
          <w:sz w:val="26"/>
        </w:rPr>
        <w:t>к</w:t>
      </w:r>
      <w:r>
        <w:rPr>
          <w:sz w:val="26"/>
        </w:rPr>
        <w:t>омиссии закрытым.</w:t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Председатель </w:t>
      </w:r>
      <w:r>
        <w:rPr>
          <w:sz w:val="25"/>
          <w:szCs w:val="25"/>
        </w:rPr>
        <w:t>к</w:t>
      </w:r>
      <w:r>
        <w:rPr>
          <w:sz w:val="25"/>
          <w:szCs w:val="25"/>
        </w:rPr>
        <w:t>омиссии                                                                             Н. В. Москвитина</w:t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Style20"/>
        <w:tabs>
          <w:tab w:val="clear" w:pos="680"/>
          <w:tab w:val="left" w:pos="840" w:leader="none"/>
        </w:tabs>
        <w:spacing w:lineRule="atLeast" w:line="240"/>
        <w:jc w:val="both"/>
        <w:rPr>
          <w:sz w:val="25"/>
          <w:szCs w:val="25"/>
        </w:rPr>
      </w:pPr>
      <w:r>
        <w:rPr>
          <w:sz w:val="25"/>
          <w:szCs w:val="25"/>
        </w:rPr>
        <w:t>Секретарь</w:t>
        <w:tab/>
        <w:t xml:space="preserve">                                                                                               А.З. Тулешкалиева                                        </w:t>
      </w:r>
    </w:p>
    <w:p>
      <w:pPr>
        <w:pStyle w:val="Style20"/>
        <w:tabs>
          <w:tab w:val="clear" w:pos="680"/>
          <w:tab w:val="left" w:pos="840" w:leader="none"/>
          <w:tab w:val="left" w:pos="7908" w:leader="none"/>
        </w:tabs>
        <w:spacing w:lineRule="atLeast" w:line="24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</w:t>
      </w:r>
    </w:p>
    <w:p>
      <w:pPr>
        <w:pStyle w:val="Style20"/>
        <w:widowControl w:val="false"/>
        <w:tabs>
          <w:tab w:val="clear" w:pos="680"/>
          <w:tab w:val="left" w:pos="1755" w:leader="none"/>
        </w:tabs>
        <w:suppressAutoHyphens w:val="false"/>
        <w:autoSpaceDE w:val="false"/>
        <w:jc w:val="right"/>
        <w:textAlignment w:val="auto"/>
        <w:rPr>
          <w:kern w:val="0"/>
          <w:sz w:val="24"/>
          <w:szCs w:val="24"/>
          <w:lang w:eastAsia="ru-RU"/>
        </w:rPr>
      </w:pPr>
      <w:r>
        <w:rPr>
          <w:kern w:val="0"/>
          <w:sz w:val="24"/>
          <w:szCs w:val="24"/>
          <w:lang w:eastAsia="ru-RU"/>
        </w:rPr>
      </w:r>
    </w:p>
    <w:p>
      <w:pPr>
        <w:pStyle w:val="Style20"/>
        <w:widowControl w:val="false"/>
        <w:tabs>
          <w:tab w:val="clear" w:pos="680"/>
          <w:tab w:val="left" w:pos="1755" w:leader="none"/>
        </w:tabs>
        <w:suppressAutoHyphens w:val="false"/>
        <w:autoSpaceDE w:val="false"/>
        <w:jc w:val="right"/>
        <w:textAlignment w:val="auto"/>
        <w:rPr>
          <w:kern w:val="0"/>
          <w:sz w:val="24"/>
          <w:szCs w:val="24"/>
          <w:lang w:eastAsia="ru-RU"/>
        </w:rPr>
      </w:pPr>
      <w:r>
        <w:rPr>
          <w:kern w:val="0"/>
          <w:sz w:val="24"/>
          <w:szCs w:val="24"/>
          <w:lang w:eastAsia="ru-RU"/>
        </w:rPr>
      </w:r>
    </w:p>
    <w:p>
      <w:pPr>
        <w:pStyle w:val="Style20"/>
        <w:widowControl w:val="false"/>
        <w:tabs>
          <w:tab w:val="clear" w:pos="680"/>
          <w:tab w:val="left" w:pos="1755" w:leader="none"/>
        </w:tabs>
        <w:suppressAutoHyphens w:val="false"/>
        <w:autoSpaceDE w:val="false"/>
        <w:jc w:val="right"/>
        <w:textAlignment w:val="auto"/>
        <w:rPr>
          <w:kern w:val="0"/>
          <w:sz w:val="24"/>
          <w:szCs w:val="24"/>
          <w:lang w:eastAsia="ru-RU"/>
        </w:rPr>
      </w:pPr>
      <w:r>
        <w:rPr>
          <w:kern w:val="0"/>
          <w:sz w:val="24"/>
          <w:szCs w:val="24"/>
          <w:lang w:eastAsia="ru-RU"/>
        </w:rPr>
      </w:r>
    </w:p>
    <w:p>
      <w:pPr>
        <w:pStyle w:val="Style20"/>
        <w:widowControl w:val="false"/>
        <w:tabs>
          <w:tab w:val="clear" w:pos="680"/>
          <w:tab w:val="left" w:pos="1755" w:leader="none"/>
        </w:tabs>
        <w:suppressAutoHyphens w:val="false"/>
        <w:autoSpaceDE w:val="false"/>
        <w:jc w:val="right"/>
        <w:textAlignment w:val="auto"/>
        <w:rPr>
          <w:kern w:val="0"/>
          <w:sz w:val="24"/>
          <w:szCs w:val="24"/>
          <w:lang w:eastAsia="ru-RU"/>
        </w:rPr>
      </w:pPr>
      <w:r>
        <w:rPr>
          <w:kern w:val="0"/>
          <w:sz w:val="24"/>
          <w:szCs w:val="24"/>
          <w:lang w:eastAsia="ru-RU"/>
        </w:rPr>
      </w:r>
    </w:p>
    <w:p>
      <w:pPr>
        <w:pStyle w:val="Style20"/>
        <w:widowControl w:val="false"/>
        <w:tabs>
          <w:tab w:val="clear" w:pos="680"/>
          <w:tab w:val="left" w:pos="1755" w:leader="none"/>
        </w:tabs>
        <w:suppressAutoHyphens w:val="false"/>
        <w:autoSpaceDE w:val="false"/>
        <w:jc w:val="right"/>
        <w:textAlignment w:val="auto"/>
        <w:rPr>
          <w:kern w:val="0"/>
          <w:sz w:val="24"/>
          <w:szCs w:val="24"/>
          <w:lang w:eastAsia="ru-RU"/>
        </w:rPr>
      </w:pPr>
      <w:r>
        <w:rPr>
          <w:kern w:val="0"/>
          <w:sz w:val="24"/>
          <w:szCs w:val="24"/>
          <w:lang w:eastAsia="ru-RU"/>
        </w:rPr>
      </w:r>
    </w:p>
    <w:p>
      <w:pPr>
        <w:pStyle w:val="Style20"/>
        <w:widowControl w:val="false"/>
        <w:tabs>
          <w:tab w:val="clear" w:pos="680"/>
          <w:tab w:val="left" w:pos="1755" w:leader="none"/>
        </w:tabs>
        <w:suppressAutoHyphens w:val="false"/>
        <w:autoSpaceDE w:val="false"/>
        <w:jc w:val="right"/>
        <w:textAlignment w:val="auto"/>
        <w:rPr>
          <w:kern w:val="0"/>
          <w:sz w:val="24"/>
          <w:szCs w:val="24"/>
          <w:lang w:eastAsia="ru-RU"/>
        </w:rPr>
      </w:pPr>
      <w:r>
        <w:rPr>
          <w:kern w:val="0"/>
          <w:sz w:val="24"/>
          <w:szCs w:val="24"/>
          <w:lang w:eastAsia="ru-RU"/>
        </w:rPr>
      </w:r>
    </w:p>
    <w:p>
      <w:pPr>
        <w:pStyle w:val="Style20"/>
        <w:widowControl w:val="false"/>
        <w:tabs>
          <w:tab w:val="clear" w:pos="680"/>
          <w:tab w:val="left" w:pos="1755" w:leader="none"/>
        </w:tabs>
        <w:suppressAutoHyphens w:val="false"/>
        <w:autoSpaceDE w:val="false"/>
        <w:jc w:val="right"/>
        <w:textAlignment w:val="auto"/>
        <w:rPr>
          <w:kern w:val="0"/>
          <w:sz w:val="24"/>
          <w:szCs w:val="24"/>
          <w:lang w:eastAsia="ru-RU"/>
        </w:rPr>
      </w:pPr>
      <w:r>
        <w:rPr>
          <w:kern w:val="0"/>
          <w:sz w:val="24"/>
          <w:szCs w:val="24"/>
          <w:lang w:eastAsia="ru-RU"/>
        </w:rPr>
      </w:r>
    </w:p>
    <w:p>
      <w:pPr>
        <w:pStyle w:val="Style20"/>
        <w:widowControl w:val="false"/>
        <w:tabs>
          <w:tab w:val="clear" w:pos="680"/>
          <w:tab w:val="left" w:pos="1755" w:leader="none"/>
        </w:tabs>
        <w:suppressAutoHyphens w:val="false"/>
        <w:autoSpaceDE w:val="false"/>
        <w:jc w:val="right"/>
        <w:textAlignment w:val="auto"/>
        <w:rPr>
          <w:kern w:val="0"/>
          <w:sz w:val="24"/>
          <w:szCs w:val="24"/>
          <w:lang w:eastAsia="ru-RU"/>
        </w:rPr>
      </w:pPr>
      <w:r>
        <w:rPr>
          <w:kern w:val="0"/>
          <w:sz w:val="24"/>
          <w:szCs w:val="24"/>
          <w:lang w:eastAsia="ru-RU"/>
        </w:rPr>
      </w:r>
    </w:p>
    <w:p>
      <w:pPr>
        <w:pStyle w:val="Style20"/>
        <w:widowControl w:val="false"/>
        <w:tabs>
          <w:tab w:val="clear" w:pos="680"/>
          <w:tab w:val="left" w:pos="1755" w:leader="none"/>
        </w:tabs>
        <w:suppressAutoHyphens w:val="false"/>
        <w:autoSpaceDE w:val="false"/>
        <w:jc w:val="right"/>
        <w:textAlignment w:val="auto"/>
        <w:rPr>
          <w:kern w:val="0"/>
          <w:sz w:val="24"/>
          <w:szCs w:val="24"/>
          <w:lang w:eastAsia="ru-RU"/>
        </w:rPr>
      </w:pPr>
      <w:r>
        <w:rPr>
          <w:kern w:val="0"/>
          <w:sz w:val="24"/>
          <w:szCs w:val="24"/>
          <w:lang w:eastAsia="ru-RU"/>
        </w:rPr>
      </w:r>
    </w:p>
    <w:p>
      <w:pPr>
        <w:pStyle w:val="Style20"/>
        <w:widowControl w:val="false"/>
        <w:tabs>
          <w:tab w:val="clear" w:pos="680"/>
          <w:tab w:val="left" w:pos="1755" w:leader="none"/>
        </w:tabs>
        <w:suppressAutoHyphens w:val="false"/>
        <w:autoSpaceDE w:val="false"/>
        <w:jc w:val="right"/>
        <w:textAlignment w:val="auto"/>
        <w:rPr>
          <w:kern w:val="0"/>
          <w:sz w:val="24"/>
          <w:szCs w:val="24"/>
          <w:lang w:eastAsia="ru-RU"/>
        </w:rPr>
      </w:pPr>
      <w:r>
        <w:rPr>
          <w:kern w:val="0"/>
          <w:sz w:val="24"/>
          <w:szCs w:val="24"/>
          <w:lang w:eastAsia="ru-RU"/>
        </w:rPr>
      </w:r>
    </w:p>
    <w:p>
      <w:pPr>
        <w:pStyle w:val="Style20"/>
        <w:widowControl w:val="false"/>
        <w:tabs>
          <w:tab w:val="clear" w:pos="680"/>
          <w:tab w:val="left" w:pos="1755" w:leader="none"/>
        </w:tabs>
        <w:suppressAutoHyphens w:val="false"/>
        <w:autoSpaceDE w:val="false"/>
        <w:jc w:val="right"/>
        <w:textAlignment w:val="auto"/>
        <w:rPr>
          <w:kern w:val="0"/>
          <w:sz w:val="24"/>
          <w:szCs w:val="24"/>
          <w:lang w:eastAsia="ru-RU"/>
        </w:rPr>
      </w:pPr>
      <w:r>
        <w:rPr>
          <w:kern w:val="0"/>
          <w:sz w:val="24"/>
          <w:szCs w:val="24"/>
          <w:lang w:eastAsia="ru-RU"/>
        </w:rPr>
      </w:r>
    </w:p>
    <w:p>
      <w:pPr>
        <w:pStyle w:val="Style20"/>
        <w:widowControl w:val="false"/>
        <w:tabs>
          <w:tab w:val="clear" w:pos="680"/>
          <w:tab w:val="left" w:pos="1755" w:leader="none"/>
        </w:tabs>
        <w:suppressAutoHyphens w:val="false"/>
        <w:autoSpaceDE w:val="false"/>
        <w:jc w:val="right"/>
        <w:textAlignment w:val="auto"/>
        <w:rPr>
          <w:kern w:val="0"/>
          <w:sz w:val="24"/>
          <w:szCs w:val="24"/>
          <w:lang w:eastAsia="ru-RU"/>
        </w:rPr>
      </w:pPr>
      <w:r>
        <w:rPr>
          <w:kern w:val="0"/>
          <w:sz w:val="24"/>
          <w:szCs w:val="24"/>
          <w:lang w:eastAsia="ru-RU"/>
        </w:rPr>
      </w:r>
    </w:p>
    <w:p>
      <w:pPr>
        <w:pStyle w:val="Style20"/>
        <w:widowControl w:val="false"/>
        <w:tabs>
          <w:tab w:val="clear" w:pos="680"/>
          <w:tab w:val="left" w:pos="1755" w:leader="none"/>
        </w:tabs>
        <w:suppressAutoHyphens w:val="false"/>
        <w:autoSpaceDE w:val="false"/>
        <w:jc w:val="right"/>
        <w:textAlignment w:val="auto"/>
        <w:rPr>
          <w:kern w:val="0"/>
          <w:sz w:val="24"/>
          <w:szCs w:val="24"/>
          <w:lang w:eastAsia="ru-RU"/>
        </w:rPr>
      </w:pPr>
      <w:r>
        <w:rPr>
          <w:kern w:val="0"/>
          <w:sz w:val="24"/>
          <w:szCs w:val="24"/>
          <w:lang w:eastAsia="ru-RU"/>
        </w:rPr>
      </w:r>
    </w:p>
    <w:p>
      <w:pPr>
        <w:pStyle w:val="Style20"/>
        <w:widowControl w:val="false"/>
        <w:tabs>
          <w:tab w:val="clear" w:pos="680"/>
          <w:tab w:val="left" w:pos="1755" w:leader="none"/>
        </w:tabs>
        <w:suppressAutoHyphens w:val="false"/>
        <w:autoSpaceDE w:val="false"/>
        <w:jc w:val="right"/>
        <w:textAlignment w:val="auto"/>
        <w:rPr>
          <w:kern w:val="0"/>
          <w:sz w:val="24"/>
          <w:szCs w:val="24"/>
          <w:lang w:eastAsia="ru-RU"/>
        </w:rPr>
      </w:pPr>
      <w:r>
        <w:rPr>
          <w:kern w:val="0"/>
          <w:sz w:val="24"/>
          <w:szCs w:val="24"/>
          <w:lang w:eastAsia="ru-RU"/>
        </w:rPr>
      </w:r>
    </w:p>
    <w:p>
      <w:pPr>
        <w:pStyle w:val="Style20"/>
        <w:widowControl w:val="false"/>
        <w:tabs>
          <w:tab w:val="clear" w:pos="680"/>
          <w:tab w:val="left" w:pos="1755" w:leader="none"/>
        </w:tabs>
        <w:suppressAutoHyphens w:val="false"/>
        <w:autoSpaceDE w:val="false"/>
        <w:jc w:val="right"/>
        <w:textAlignment w:val="auto"/>
        <w:rPr>
          <w:kern w:val="0"/>
          <w:sz w:val="24"/>
          <w:szCs w:val="24"/>
          <w:lang w:eastAsia="ru-RU"/>
        </w:rPr>
      </w:pPr>
      <w:r>
        <w:rPr>
          <w:kern w:val="0"/>
          <w:sz w:val="24"/>
          <w:szCs w:val="24"/>
          <w:lang w:eastAsia="ru-RU"/>
        </w:rPr>
      </w:r>
    </w:p>
    <w:p>
      <w:pPr>
        <w:pStyle w:val="Style20"/>
        <w:widowControl w:val="false"/>
        <w:tabs>
          <w:tab w:val="clear" w:pos="680"/>
          <w:tab w:val="left" w:pos="1755" w:leader="none"/>
        </w:tabs>
        <w:suppressAutoHyphens w:val="false"/>
        <w:autoSpaceDE w:val="false"/>
        <w:jc w:val="right"/>
        <w:textAlignment w:val="auto"/>
        <w:rPr>
          <w:kern w:val="0"/>
          <w:sz w:val="24"/>
          <w:szCs w:val="24"/>
          <w:lang w:eastAsia="ru-RU"/>
        </w:rPr>
      </w:pPr>
      <w:r>
        <w:rPr>
          <w:kern w:val="0"/>
          <w:sz w:val="24"/>
          <w:szCs w:val="24"/>
          <w:lang w:eastAsia="ru-RU"/>
        </w:rPr>
      </w:r>
    </w:p>
    <w:p>
      <w:pPr>
        <w:pStyle w:val="Style20"/>
        <w:widowControl w:val="false"/>
        <w:tabs>
          <w:tab w:val="clear" w:pos="680"/>
          <w:tab w:val="left" w:pos="1755" w:leader="none"/>
        </w:tabs>
        <w:suppressAutoHyphens w:val="false"/>
        <w:autoSpaceDE w:val="false"/>
        <w:jc w:val="right"/>
        <w:textAlignment w:val="auto"/>
        <w:rPr>
          <w:kern w:val="0"/>
          <w:sz w:val="24"/>
          <w:szCs w:val="24"/>
          <w:lang w:eastAsia="ru-RU"/>
        </w:rPr>
      </w:pPr>
      <w:r>
        <w:rPr>
          <w:kern w:val="0"/>
          <w:sz w:val="24"/>
          <w:szCs w:val="24"/>
          <w:lang w:eastAsia="ru-RU"/>
        </w:rPr>
      </w:r>
    </w:p>
    <w:p>
      <w:pPr>
        <w:pStyle w:val="Style20"/>
        <w:widowControl w:val="false"/>
        <w:tabs>
          <w:tab w:val="clear" w:pos="680"/>
          <w:tab w:val="left" w:pos="1755" w:leader="none"/>
        </w:tabs>
        <w:suppressAutoHyphens w:val="false"/>
        <w:autoSpaceDE w:val="false"/>
        <w:jc w:val="right"/>
        <w:textAlignment w:val="auto"/>
        <w:rPr>
          <w:kern w:val="0"/>
          <w:sz w:val="24"/>
          <w:szCs w:val="24"/>
          <w:lang w:eastAsia="ru-RU"/>
        </w:rPr>
      </w:pPr>
      <w:r>
        <w:rPr>
          <w:kern w:val="0"/>
          <w:sz w:val="24"/>
          <w:szCs w:val="24"/>
          <w:lang w:eastAsia="ru-RU"/>
        </w:rPr>
      </w:r>
    </w:p>
    <w:p>
      <w:pPr>
        <w:pStyle w:val="Style20"/>
        <w:widowControl w:val="false"/>
        <w:tabs>
          <w:tab w:val="clear" w:pos="680"/>
          <w:tab w:val="left" w:pos="1755" w:leader="none"/>
        </w:tabs>
        <w:suppressAutoHyphens w:val="false"/>
        <w:autoSpaceDE w:val="false"/>
        <w:jc w:val="right"/>
        <w:textAlignment w:val="auto"/>
        <w:rPr>
          <w:kern w:val="0"/>
          <w:sz w:val="24"/>
          <w:szCs w:val="24"/>
          <w:lang w:eastAsia="ru-RU"/>
        </w:rPr>
      </w:pPr>
      <w:r>
        <w:rPr>
          <w:kern w:val="0"/>
          <w:sz w:val="24"/>
          <w:szCs w:val="24"/>
          <w:lang w:eastAsia="ru-RU"/>
        </w:rPr>
      </w:r>
    </w:p>
    <w:p>
      <w:pPr>
        <w:pStyle w:val="Style20"/>
        <w:widowControl w:val="false"/>
        <w:tabs>
          <w:tab w:val="clear" w:pos="680"/>
          <w:tab w:val="left" w:pos="1755" w:leader="none"/>
        </w:tabs>
        <w:suppressAutoHyphens w:val="false"/>
        <w:autoSpaceDE w:val="false"/>
        <w:jc w:val="right"/>
        <w:textAlignment w:val="auto"/>
        <w:rPr>
          <w:kern w:val="0"/>
          <w:sz w:val="24"/>
          <w:szCs w:val="24"/>
          <w:lang w:eastAsia="ru-RU"/>
        </w:rPr>
      </w:pPr>
      <w:r>
        <w:rPr>
          <w:kern w:val="0"/>
          <w:sz w:val="24"/>
          <w:szCs w:val="24"/>
          <w:lang w:eastAsia="ru-RU"/>
        </w:rPr>
      </w:r>
    </w:p>
    <w:p>
      <w:pPr>
        <w:pStyle w:val="Style20"/>
        <w:widowControl w:val="false"/>
        <w:tabs>
          <w:tab w:val="clear" w:pos="680"/>
          <w:tab w:val="left" w:pos="1755" w:leader="none"/>
        </w:tabs>
        <w:suppressAutoHyphens w:val="false"/>
        <w:autoSpaceDE w:val="false"/>
        <w:jc w:val="right"/>
        <w:textAlignment w:val="auto"/>
        <w:rPr>
          <w:rStyle w:val="Style13"/>
          <w:kern w:val="0"/>
          <w:sz w:val="26"/>
          <w:szCs w:val="26"/>
          <w:lang w:eastAsia="ru-RU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985" w:right="567" w:header="340" w:top="0" w:footer="720" w:bottom="0" w:gutter="0"/>
      <w:pgNumType w:fmt="decimal"/>
      <w:formProt w:val="false"/>
      <w:titlePg/>
      <w:textDirection w:val="lrTb"/>
      <w:docGrid w:type="default" w:linePitch="600" w:charSpace="409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modern"/>
    <w:pitch w:val="fixed"/>
  </w:font>
  <w:font w:name="Tahoma">
    <w:charset w:val="cc"/>
    <w:family w:val="swiss"/>
    <w:pitch w:val="variable"/>
  </w:font>
  <w:font w:name="Classic Russian">
    <w:charset w:val="cc"/>
    <w:family w:val="swiss"/>
    <w:pitch w:val="variable"/>
  </w:font>
  <w:font w:name="Symbol">
    <w:charset w:val="02"/>
    <w:family w:val="auto"/>
    <w:pitch w:val="default"/>
  </w:font>
  <w:font w:name="Times New Roman">
    <w:altName w:val="serif"/>
    <w:charset w:val="cc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1"/>
      <w:rPr/>
    </w:pPr>
    <w:r>
      <w:rPr/>
    </w:r>
  </w:p>
  <w:p>
    <w:pPr>
      <w:pStyle w:val="Style31"/>
      <w:rPr/>
    </w:pPr>
    <w:r>
      <w:rPr/>
    </w:r>
  </w:p>
  <w:p>
    <w:pPr>
      <w:pStyle w:val="Style31"/>
      <w:rPr/>
    </w:pPr>
    <w:r>
      <w:rPr/>
    </w:r>
  </w:p>
  <w:p>
    <w:pPr>
      <w:pStyle w:val="Style31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0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7</w:t>
    </w:r>
    <w:r>
      <w:rPr/>
      <w:fldChar w:fldCharType="end"/>
    </w:r>
  </w:p>
  <w:p>
    <w:pPr>
      <w:pStyle w:val="Style30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680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ru-RU" w:eastAsia="zh-CN" w:bidi="hi-IN"/>
      </w:rPr>
    </w:rPrDefault>
    <w:pPrDefault>
      <w:pPr>
        <w:suppressAutoHyphens w:val="false"/>
        <w:textAlignment w:val="baselin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suppressAutoHyphens w:val="fals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0"/>
      <w:sz w:val="20"/>
      <w:szCs w:val="20"/>
      <w:u w:val="none"/>
      <w:vertAlign w:val="baseline"/>
      <w:em w:val="none"/>
      <w:lang w:bidi="ar-SA" w:val="ru-RU" w:eastAsia="zh-CN"/>
    </w:rPr>
  </w:style>
  <w:style w:type="paragraph" w:styleId="2">
    <w:name w:val="Heading 2"/>
    <w:basedOn w:val="Style20"/>
    <w:next w:val="Style20"/>
    <w:qFormat/>
    <w:pPr>
      <w:keepNext w:val="true"/>
      <w:widowControl w:val="false"/>
      <w:numPr>
        <w:ilvl w:val="1"/>
        <w:numId w:val="1"/>
      </w:numPr>
      <w:suppressAutoHyphens w:val="true"/>
      <w:jc w:val="center"/>
      <w:outlineLvl w:val="1"/>
    </w:pPr>
    <w:rPr>
      <w:b/>
      <w:sz w:val="28"/>
    </w:rPr>
  </w:style>
  <w:style w:type="character" w:styleId="Style13">
    <w:name w:val="Основной шрифт абзаца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>
      <w:rFonts w:ascii="Times New Roman" w:hAnsi="Times New Roman" w:eastAsia="Times New Roman" w:cs="Times New Roman"/>
    </w:rPr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Style14">
    <w:name w:val="Интернет-ссылка"/>
    <w:rPr>
      <w:color w:val="0000FF"/>
      <w:u w:val="single"/>
    </w:rPr>
  </w:style>
  <w:style w:type="character" w:styleId="Style15">
    <w:name w:val="Знак примечания"/>
    <w:qFormat/>
    <w:rPr>
      <w:sz w:val="16"/>
      <w:szCs w:val="16"/>
    </w:rPr>
  </w:style>
  <w:style w:type="character" w:styleId="Style16">
    <w:name w:val="Верхний колонтитул Знак"/>
    <w:basedOn w:val="Style13"/>
    <w:qFormat/>
    <w:rPr/>
  </w:style>
  <w:style w:type="character" w:styleId="Style17">
    <w:name w:val="Нижний колонтитул Знак"/>
    <w:basedOn w:val="Style13"/>
    <w:qFormat/>
    <w:rPr/>
  </w:style>
  <w:style w:type="character" w:styleId="Appleconvertedspace">
    <w:name w:val="apple-converted-space"/>
    <w:qFormat/>
    <w:rPr/>
  </w:style>
  <w:style w:type="character" w:styleId="WWCharLFO1LVL2">
    <w:name w:val="WW_CharLFO1LVL2"/>
    <w:qFormat/>
    <w:rPr>
      <w:rFonts w:ascii="Times New Roman" w:hAnsi="Times New Roman" w:eastAsia="Times New Roman" w:cs="Times New Roman"/>
    </w:rPr>
  </w:style>
  <w:style w:type="character" w:styleId="WWCharLFO5LVL1">
    <w:name w:val="WW_CharLFO5LVL1"/>
    <w:qFormat/>
    <w:rPr>
      <w:sz w:val="26"/>
    </w:rPr>
  </w:style>
  <w:style w:type="paragraph" w:styleId="Style18">
    <w:name w:val="Заголовок"/>
    <w:basedOn w:val="Normal"/>
    <w:next w:val="Style19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9">
    <w:name w:val="Body Text"/>
    <w:basedOn w:val="Style20"/>
    <w:pPr>
      <w:suppressAutoHyphens w:val="true"/>
    </w:pPr>
    <w:rPr>
      <w:sz w:val="28"/>
    </w:rPr>
  </w:style>
  <w:style w:type="paragraph" w:styleId="Style20">
    <w:name w:val="Обычный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0"/>
      <w:sz w:val="20"/>
      <w:szCs w:val="20"/>
      <w:u w:val="none"/>
      <w:vertAlign w:val="baseline"/>
      <w:em w:val="none"/>
      <w:lang w:bidi="ar-SA" w:val="ru-RU" w:eastAsia="zh-CN"/>
    </w:rPr>
  </w:style>
  <w:style w:type="paragraph" w:styleId="Style21">
    <w:name w:val="List"/>
    <w:basedOn w:val="Style19"/>
    <w:pPr>
      <w:suppressAutoHyphens w:val="false"/>
    </w:pPr>
    <w:rPr>
      <w:rFonts w:cs="Mangal"/>
      <w:sz w:val="24"/>
    </w:rPr>
  </w:style>
  <w:style w:type="paragraph" w:styleId="Style22">
    <w:name w:val="Название объекта"/>
    <w:basedOn w:val="Normal"/>
    <w:qFormat/>
    <w:pPr>
      <w:suppressLineNumbers/>
      <w:suppressAutoHyphens w:val="false"/>
      <w:spacing w:before="120" w:after="120"/>
    </w:pPr>
    <w:rPr>
      <w:rFonts w:cs="Mang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  <w:suppressAutoHyphens w:val="false"/>
    </w:pPr>
    <w:rPr>
      <w:rFonts w:cs="Mangal"/>
      <w:sz w:val="24"/>
    </w:rPr>
  </w:style>
  <w:style w:type="paragraph" w:styleId="Style24">
    <w:name w:val="Body Text Indent"/>
    <w:basedOn w:val="Normal"/>
    <w:pPr>
      <w:suppressAutoHyphens w:val="false"/>
    </w:pPr>
    <w:rPr>
      <w:sz w:val="26"/>
    </w:rPr>
  </w:style>
  <w:style w:type="paragraph" w:styleId="21">
    <w:name w:val="Основной текст 2"/>
    <w:basedOn w:val="Normal"/>
    <w:qFormat/>
    <w:pPr>
      <w:suppressAutoHyphens w:val="false"/>
      <w:jc w:val="both"/>
    </w:pPr>
    <w:rPr>
      <w:sz w:val="28"/>
    </w:rPr>
  </w:style>
  <w:style w:type="paragraph" w:styleId="3">
    <w:name w:val="Основной текст 3"/>
    <w:basedOn w:val="Normal"/>
    <w:qFormat/>
    <w:pPr>
      <w:suppressAutoHyphens w:val="false"/>
    </w:pPr>
    <w:rPr>
      <w:sz w:val="26"/>
    </w:rPr>
  </w:style>
  <w:style w:type="paragraph" w:styleId="Style25">
    <w:name w:val="Текст примечания"/>
    <w:basedOn w:val="Normal"/>
    <w:qFormat/>
    <w:pPr>
      <w:suppressAutoHyphens w:val="false"/>
    </w:pPr>
    <w:rPr/>
  </w:style>
  <w:style w:type="paragraph" w:styleId="22">
    <w:name w:val="Основной текст с отступом 2"/>
    <w:basedOn w:val="Normal"/>
    <w:qFormat/>
    <w:pPr>
      <w:tabs>
        <w:tab w:val="clear" w:pos="680"/>
      </w:tabs>
      <w:suppressAutoHyphens w:val="false"/>
      <w:spacing w:lineRule="auto" w:line="480" w:before="0" w:after="120"/>
      <w:ind w:left="283" w:right="0" w:hanging="0"/>
    </w:pPr>
    <w:rPr/>
  </w:style>
  <w:style w:type="paragraph" w:styleId="Style26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styleId="Style27">
    <w:name w:val="Текст"/>
    <w:basedOn w:val="Normal"/>
    <w:qFormat/>
    <w:pPr>
      <w:suppressAutoHyphens w:val="false"/>
    </w:pPr>
    <w:rPr>
      <w:rFonts w:ascii="Courier New" w:hAnsi="Courier New" w:cs="Courier New"/>
    </w:rPr>
  </w:style>
  <w:style w:type="paragraph" w:styleId="Style28">
    <w:name w:val="Текст выноски"/>
    <w:basedOn w:val="Normal"/>
    <w:qFormat/>
    <w:pPr>
      <w:suppressAutoHyphens w:val="false"/>
    </w:pPr>
    <w:rPr>
      <w:rFonts w:ascii="Tahoma" w:hAnsi="Tahoma" w:cs="Tahoma"/>
      <w:sz w:val="16"/>
      <w:szCs w:val="16"/>
    </w:rPr>
  </w:style>
  <w:style w:type="paragraph" w:styleId="Style29">
    <w:name w:val="Верхний и нижний колонтитулы"/>
    <w:basedOn w:val="Normal"/>
    <w:qFormat/>
    <w:pPr>
      <w:suppressLineNumbers/>
      <w:tabs>
        <w:tab w:val="clear" w:pos="680"/>
        <w:tab w:val="center" w:pos="4819" w:leader="none"/>
        <w:tab w:val="right" w:pos="9638" w:leader="none"/>
      </w:tabs>
    </w:pPr>
    <w:rPr/>
  </w:style>
  <w:style w:type="paragraph" w:styleId="Style30">
    <w:name w:val="Header"/>
    <w:basedOn w:val="Normal"/>
    <w:pPr>
      <w:tabs>
        <w:tab w:val="clear" w:pos="680"/>
        <w:tab w:val="center" w:pos="4677" w:leader="none"/>
        <w:tab w:val="right" w:pos="9355" w:leader="none"/>
      </w:tabs>
      <w:suppressAutoHyphens w:val="false"/>
    </w:pPr>
    <w:rPr/>
  </w:style>
  <w:style w:type="paragraph" w:styleId="Style31">
    <w:name w:val="Footer"/>
    <w:basedOn w:val="Normal"/>
    <w:pPr>
      <w:tabs>
        <w:tab w:val="clear" w:pos="680"/>
        <w:tab w:val="center" w:pos="4677" w:leader="none"/>
        <w:tab w:val="right" w:pos="9355" w:leader="none"/>
      </w:tabs>
      <w:suppressAutoHyphens w:val="false"/>
    </w:pPr>
    <w:rPr/>
  </w:style>
  <w:style w:type="paragraph" w:styleId="Style32">
    <w:name w:val="Содержимое врезки"/>
    <w:basedOn w:val="Normal"/>
    <w:qFormat/>
    <w:pPr>
      <w:suppressAutoHyphens w:val="false"/>
    </w:pPr>
    <w:rPr/>
  </w:style>
  <w:style w:type="paragraph" w:styleId="Style33">
    <w:name w:val="Содержимое таблицы"/>
    <w:basedOn w:val="Normal"/>
    <w:qFormat/>
    <w:pPr>
      <w:suppressLineNumbers/>
      <w:suppressAutoHyphens w:val="false"/>
    </w:pPr>
    <w:rPr/>
  </w:style>
  <w:style w:type="paragraph" w:styleId="Style34">
    <w:name w:val="Заголовок таблицы"/>
    <w:basedOn w:val="Style33"/>
    <w:qFormat/>
    <w:pPr>
      <w:suppressAutoHyphens w:val="false"/>
      <w:jc w:val="center"/>
    </w:pPr>
    <w:rPr>
      <w:b/>
      <w:bCs/>
    </w:rPr>
  </w:style>
  <w:style w:type="paragraph" w:styleId="LONormal">
    <w:name w:val="LO-Normal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false"/>
      <w:spacing w:lineRule="auto" w:line="240"/>
      <w:jc w:val="left"/>
      <w:textAlignment w:val="baseline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0"/>
      <w:sz w:val="20"/>
      <w:szCs w:val="20"/>
      <w:u w:val="none"/>
      <w:vertAlign w:val="baseline"/>
      <w:em w:val="none"/>
      <w:lang w:bidi="ar-SA" w:val="ru-RU" w:eastAsia="zh-CN"/>
    </w:rPr>
  </w:style>
  <w:style w:type="paragraph" w:styleId="Style35">
    <w:name w:val="Абзац списка"/>
    <w:basedOn w:val="Style20"/>
    <w:qFormat/>
    <w:pPr>
      <w:tabs>
        <w:tab w:val="clear" w:pos="680"/>
      </w:tabs>
      <w:suppressAutoHyphens w:val="true"/>
      <w:ind w:left="720" w:right="0" w:hanging="0"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966</TotalTime>
  <Application>LibreOffice/6.3.3.2$Windows_x86 LibreOffice_project/a64200df03143b798afd1ec74a12ab50359878ed</Application>
  <Pages>7</Pages>
  <Words>1918</Words>
  <CharactersWithSpaces>15961</CharactersWithSpaces>
  <Paragraphs>140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2013-05-13T09:55:00Z</dcterms:created>
  <dc:creator>***</dc:creator>
  <dc:description/>
  <dc:language>ru-RU</dc:language>
  <cp:lastModifiedBy/>
  <cp:lastPrinted>2020-03-17T16:20:30Z</cp:lastPrinted>
  <dcterms:modified xsi:type="dcterms:W3CDTF">2020-03-18T14:14:33Z</dcterms:modified>
  <cp:revision>85</cp:revision>
  <dc:subject/>
  <dc:title/>
</cp:coreProperties>
</file>